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362E" w14:textId="77777777" w:rsidR="00270120" w:rsidRPr="00140A25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14:paraId="4301452D" w14:textId="77777777" w:rsidR="009B63F3" w:rsidRPr="00671B34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140A25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140A25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22036E">
        <w:rPr>
          <w:rFonts w:ascii="Sylfaen" w:hAnsi="Sylfaen" w:cs="Sylfaen"/>
          <w:szCs w:val="21"/>
          <w:shd w:val="clear" w:color="auto" w:fill="FFFFFF"/>
        </w:rPr>
        <w:t>31</w:t>
      </w:r>
      <w:r w:rsidR="0022036E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2036E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22036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22036E">
        <w:rPr>
          <w:rFonts w:ascii="Sylfaen" w:hAnsi="Sylfaen" w:cs="Sylfaen"/>
          <w:szCs w:val="21"/>
          <w:shd w:val="clear" w:color="auto" w:fill="FFFFFF"/>
          <w:lang w:val="ka-GE"/>
        </w:rPr>
        <w:t>29</w:t>
      </w:r>
      <w:r w:rsidR="008E6116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22036E">
        <w:rPr>
          <w:rFonts w:ascii="Sylfaen" w:hAnsi="Sylfaen" w:cs="Sylfaen"/>
          <w:szCs w:val="21"/>
          <w:shd w:val="clear" w:color="auto" w:fill="FFFFFF"/>
          <w:lang w:val="ka-GE"/>
        </w:rPr>
        <w:t>653</w:t>
      </w:r>
      <w:r w:rsidR="004E09B6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2036E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311D8A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140A25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„სახელმწიფო ვალის შესახებ“ საქართველოს კანონით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გათვალისწინებულ სახელმწიფო ვალი, გარდა საქართველოს ეროვნული ბანკის მიერ აღებული ვალდებულებებისა - </w:t>
      </w:r>
      <w:r w:rsidR="00F16F47">
        <w:rPr>
          <w:rFonts w:ascii="Sylfaen" w:hAnsi="Sylfaen" w:cs="Sylfaen"/>
          <w:szCs w:val="21"/>
          <w:shd w:val="clear" w:color="auto" w:fill="FFFFFF"/>
          <w:lang w:val="ka-GE"/>
        </w:rPr>
        <w:t>29,612.8</w:t>
      </w:r>
      <w:r w:rsidR="008E6116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396821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F16F47">
        <w:rPr>
          <w:rFonts w:ascii="Sylfaen" w:hAnsi="Sylfaen"/>
          <w:szCs w:val="21"/>
          <w:shd w:val="clear" w:color="auto" w:fill="FFFFFF"/>
          <w:lang w:val="ka-GE"/>
        </w:rPr>
        <w:t>40.8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14:paraId="22C79E40" w14:textId="77777777" w:rsidR="006F4202" w:rsidRPr="00140A25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71B34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F16F47">
        <w:rPr>
          <w:rFonts w:ascii="Sylfaen" w:hAnsi="Sylfaen"/>
          <w:szCs w:val="21"/>
          <w:shd w:val="clear" w:color="auto" w:fill="FFFFFF"/>
          <w:lang w:val="ka-GE"/>
        </w:rPr>
        <w:t>23,467.5</w:t>
      </w:r>
      <w:r w:rsidR="00784855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860E2B" w:rsidRPr="00671B34">
        <w:rPr>
          <w:rFonts w:ascii="Sylfaen" w:hAnsi="Sylfaen"/>
          <w:szCs w:val="21"/>
          <w:shd w:val="clear" w:color="auto" w:fill="FFFFFF"/>
          <w:lang w:val="ka-GE"/>
        </w:rPr>
        <w:t>79</w:t>
      </w:r>
      <w:r w:rsidR="006F4202" w:rsidRPr="00671B34">
        <w:rPr>
          <w:rFonts w:ascii="Sylfaen" w:hAnsi="Sylfaen"/>
          <w:szCs w:val="21"/>
          <w:shd w:val="clear" w:color="auto" w:fill="FFFFFF"/>
        </w:rPr>
        <w:t>%-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F16F47">
        <w:rPr>
          <w:rFonts w:ascii="Sylfaen" w:hAnsi="Sylfaen"/>
          <w:szCs w:val="21"/>
          <w:shd w:val="clear" w:color="auto" w:fill="FFFFFF"/>
          <w:lang w:val="ka-GE"/>
        </w:rPr>
        <w:t>21.0</w:t>
      </w:r>
      <w:r w:rsidR="00431ADF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</w:rPr>
        <w:t>წელს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431ADF" w:rsidRPr="00671B34">
        <w:rPr>
          <w:rFonts w:ascii="Sylfaen" w:hAnsi="Sylfaen"/>
          <w:szCs w:val="21"/>
          <w:shd w:val="clear" w:color="auto" w:fill="FFFFFF"/>
          <w:lang w:val="ka-GE"/>
        </w:rPr>
        <w:t>8.</w:t>
      </w:r>
      <w:r w:rsidR="00F16F47">
        <w:rPr>
          <w:rFonts w:ascii="Sylfaen" w:hAnsi="Sylfaen"/>
          <w:szCs w:val="21"/>
          <w:shd w:val="clear" w:color="auto" w:fill="FFFFFF"/>
          <w:lang w:val="ka-GE"/>
        </w:rPr>
        <w:t>7</w:t>
      </w:r>
      <w:r w:rsidR="00C126E1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7B97" w:rsidRPr="00671B34">
        <w:rPr>
          <w:rFonts w:ascii="Sylfaen" w:hAnsi="Sylfaen" w:cs="Sylfaen"/>
          <w:szCs w:val="21"/>
          <w:shd w:val="clear" w:color="auto" w:fill="FFFFFF"/>
          <w:lang w:val="ka-GE"/>
        </w:rPr>
        <w:t>1.</w:t>
      </w:r>
      <w:r w:rsidR="00F16F47">
        <w:rPr>
          <w:rFonts w:ascii="Sylfaen" w:hAnsi="Sylfaen" w:cs="Sylfaen"/>
          <w:szCs w:val="21"/>
          <w:shd w:val="clear" w:color="auto" w:fill="FFFFFF"/>
          <w:lang w:val="ka-GE"/>
        </w:rPr>
        <w:t>33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5F0EBAFD" w14:textId="77777777" w:rsidR="006F4202" w:rsidRPr="00140A25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140A25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614AE0" wp14:editId="56825B00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95CFB5" w14:textId="77777777" w:rsidR="00EF45AF" w:rsidRPr="00A33B48" w:rsidRDefault="00EF45A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644E3A9A" w14:textId="77777777" w:rsidR="00EF45AF" w:rsidRPr="00A33B48" w:rsidRDefault="00EF45A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B76C9">
                                <w:rPr>
                                  <w:rFonts w:ascii="Sylfaen" w:hAnsi="Sylfaen" w:cstheme="minorBidi"/>
                                  <w:b/>
                                  <w:color w:val="FF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color w:val="FF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33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14:paraId="282B1CB5" w14:textId="77777777" w:rsidR="00EF45AF" w:rsidRPr="00A33B48" w:rsidRDefault="00EF45A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14:paraId="18F921C6" w14:textId="77777777" w:rsidR="00EF45AF" w:rsidRPr="00DE4001" w:rsidRDefault="00EF45A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7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14AE0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4E95CFB5" w14:textId="77777777" w:rsidR="00EF45AF" w:rsidRPr="00A33B48" w:rsidRDefault="00EF45A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644E3A9A" w14:textId="77777777" w:rsidR="00EF45AF" w:rsidRPr="00A33B48" w:rsidRDefault="00EF45A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8B76C9">
                          <w:rPr>
                            <w:rFonts w:ascii="Sylfaen" w:hAnsi="Sylfaen" w:cstheme="minorBidi"/>
                            <w:b/>
                            <w:color w:val="FF0000"/>
                            <w:kern w:val="24"/>
                            <w:sz w:val="16"/>
                            <w:szCs w:val="16"/>
                            <w:lang w:val="ka-GE"/>
                          </w:rPr>
                          <w:t>1.</w:t>
                        </w:r>
                        <w:r>
                          <w:rPr>
                            <w:rFonts w:ascii="Sylfaen" w:hAnsi="Sylfaen" w:cstheme="minorBidi"/>
                            <w:b/>
                            <w:color w:val="FF0000"/>
                            <w:kern w:val="24"/>
                            <w:sz w:val="16"/>
                            <w:szCs w:val="16"/>
                            <w:lang w:val="ka-GE"/>
                          </w:rPr>
                          <w:t>33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14:paraId="282B1CB5" w14:textId="77777777" w:rsidR="00EF45AF" w:rsidRPr="00A33B48" w:rsidRDefault="00EF45A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14:paraId="18F921C6" w14:textId="77777777" w:rsidR="00EF45AF" w:rsidRPr="00DE4001" w:rsidRDefault="00EF45A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7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140A25">
        <w:rPr>
          <w:noProof/>
        </w:rPr>
        <w:drawing>
          <wp:anchor distT="0" distB="0" distL="114300" distR="114300" simplePos="0" relativeHeight="251663360" behindDoc="0" locked="0" layoutInCell="1" allowOverlap="1" wp14:anchorId="61E9F0DB" wp14:editId="66C9E3F0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F16F47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F16F4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F16F47">
        <w:rPr>
          <w:rFonts w:ascii="Sylfaen" w:hAnsi="Sylfaen" w:cs="Sylfaen"/>
          <w:b/>
          <w:szCs w:val="21"/>
          <w:shd w:val="clear" w:color="auto" w:fill="FFFFFF"/>
          <w:lang w:val="ka-GE"/>
        </w:rPr>
        <w:t>დეკემბრის</w:t>
      </w:r>
      <w:r w:rsidR="00F16F47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53286F86" w14:textId="77777777" w:rsidR="003C2AE8" w:rsidRPr="00140A25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14:paraId="514B4BEF" w14:textId="77777777" w:rsidR="00B57E95" w:rsidRPr="00140A2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50ACEB03" w14:textId="77777777" w:rsidR="006F4202" w:rsidRPr="00140A25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140A25">
        <w:rPr>
          <w:rFonts w:ascii="Sylfaen" w:hAnsi="Sylfaen" w:cs="Sylfaen"/>
          <w:szCs w:val="21"/>
          <w:shd w:val="clear" w:color="auto" w:fill="FFFFFF"/>
        </w:rPr>
        <w:t>20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F16F47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F16F47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F16F47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F16F47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პორტფელის </w:t>
      </w:r>
      <w:r w:rsidR="00B7447C" w:rsidRPr="00140A25">
        <w:rPr>
          <w:rFonts w:ascii="Sylfaen" w:hAnsi="Sylfaen" w:cs="Sylfaen"/>
          <w:szCs w:val="21"/>
          <w:shd w:val="clear" w:color="auto" w:fill="FFFFFF"/>
        </w:rPr>
        <w:t>5</w:t>
      </w:r>
      <w:r w:rsidR="00F16F47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711CE6">
        <w:rPr>
          <w:rFonts w:ascii="Sylfaen" w:hAnsi="Sylfaen" w:cs="Sylfaen"/>
          <w:szCs w:val="21"/>
          <w:shd w:val="clear" w:color="auto" w:fill="FFFFFF"/>
        </w:rPr>
        <w:t>2</w:t>
      </w:r>
      <w:r w:rsidR="00F16F47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14:paraId="14C0AE1B" w14:textId="77777777" w:rsidR="00B7509F" w:rsidRPr="00140A25" w:rsidRDefault="00D37A24" w:rsidP="006A4593">
      <w:pPr>
        <w:tabs>
          <w:tab w:val="left" w:pos="360"/>
        </w:tabs>
        <w:spacing w:line="240" w:lineRule="auto"/>
        <w:ind w:left="360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A3A5AFB" wp14:editId="5BC1457E">
            <wp:simplePos x="0" y="0"/>
            <wp:positionH relativeFrom="column">
              <wp:posOffset>3743325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CE6">
        <w:rPr>
          <w:noProof/>
        </w:rPr>
        <w:drawing>
          <wp:anchor distT="0" distB="0" distL="114300" distR="114300" simplePos="0" relativeHeight="251665408" behindDoc="1" locked="0" layoutInCell="1" allowOverlap="1" wp14:anchorId="2093EBB6" wp14:editId="65C65F09">
            <wp:simplePos x="0" y="0"/>
            <wp:positionH relativeFrom="column">
              <wp:posOffset>1143000</wp:posOffset>
            </wp:positionH>
            <wp:positionV relativeFrom="paragraph">
              <wp:posOffset>226695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40A25">
        <w:rPr>
          <w:rFonts w:ascii="Sylfaen" w:hAnsi="Sylfaen"/>
          <w:lang w:val="ka-GE"/>
        </w:rPr>
        <w:t xml:space="preserve">  </w:t>
      </w:r>
    </w:p>
    <w:p w14:paraId="3EE3F762" w14:textId="77777777"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14:paraId="4A963F92" w14:textId="77777777"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14:paraId="01119D22" w14:textId="77777777" w:rsidR="006042C4" w:rsidRPr="00140A25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1BC5D3B5" w14:textId="77777777" w:rsidR="002F5FB0" w:rsidRPr="00140A25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</w:p>
    <w:p w14:paraId="0F577CA2" w14:textId="77777777" w:rsidR="00071D1D" w:rsidRPr="00140A25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B71865" w:rsidRPr="00140A25">
        <w:rPr>
          <w:rFonts w:ascii="Sylfaen" w:hAnsi="Sylfaen"/>
          <w:b/>
        </w:rPr>
        <w:t>20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D85A3D">
        <w:rPr>
          <w:rFonts w:ascii="Sylfaen" w:hAnsi="Sylfaen" w:cs="Sylfaen"/>
          <w:b/>
          <w:szCs w:val="18"/>
          <w:shd w:val="clear" w:color="auto" w:fill="FFFFFF"/>
          <w:lang w:val="ka-GE"/>
        </w:rPr>
        <w:t>3</w:t>
      </w:r>
      <w:r w:rsidR="00EF6AB2">
        <w:rPr>
          <w:rFonts w:ascii="Sylfaen" w:hAnsi="Sylfaen" w:cs="Sylfaen"/>
          <w:b/>
          <w:szCs w:val="18"/>
          <w:shd w:val="clear" w:color="auto" w:fill="FFFFFF"/>
          <w:lang w:val="ka-GE"/>
        </w:rPr>
        <w:t>1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F6AB2">
        <w:rPr>
          <w:rFonts w:ascii="Sylfaen" w:hAnsi="Sylfaen" w:cs="Sylfaen"/>
          <w:b/>
          <w:szCs w:val="21"/>
          <w:shd w:val="clear" w:color="auto" w:fill="FFFFFF"/>
          <w:lang w:val="ka-GE"/>
        </w:rPr>
        <w:t>დეკემბრის</w:t>
      </w:r>
      <w:r w:rsidR="00EF6AB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EF6AB2" w:rsidRPr="00140A25">
        <w:rPr>
          <w:rFonts w:ascii="Sylfaen" w:hAnsi="Sylfaen"/>
          <w:b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p w14:paraId="2A550278" w14:textId="77777777" w:rsidR="00E97A98" w:rsidRDefault="00E97A98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874"/>
        <w:gridCol w:w="1421"/>
        <w:gridCol w:w="1190"/>
        <w:gridCol w:w="1560"/>
        <w:gridCol w:w="1105"/>
        <w:gridCol w:w="1293"/>
      </w:tblGrid>
      <w:tr w:rsidR="00E97A98" w14:paraId="01B83C91" w14:textId="77777777" w:rsidTr="00EF45AF">
        <w:trPr>
          <w:trHeight w:hRule="exact" w:val="638"/>
          <w:tblHeader/>
        </w:trPr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8CDA" w14:textId="77777777" w:rsidR="00E97A98" w:rsidRDefault="00E97A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3B76" w14:textId="77777777" w:rsidR="00E97A98" w:rsidRDefault="00E97A98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კრედიტის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ვალუტა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D8CC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აშშ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დოლარი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EF1C5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ლარი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E0B0E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3ACE8F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bCs/>
                <w:sz w:val="12"/>
                <w:szCs w:val="12"/>
              </w:rPr>
              <w:t>საპროცენტო</w:t>
            </w: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2"/>
                <w:szCs w:val="12"/>
              </w:rPr>
              <w:t>განაკვეთი</w:t>
            </w: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31.12.2020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131FD0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შეწონილი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</w:tr>
      <w:tr w:rsidR="00E97A98" w14:paraId="2E1B7EC0" w14:textId="77777777" w:rsidTr="00EF45AF">
        <w:trPr>
          <w:trHeight w:hRule="exact" w:val="294"/>
        </w:trPr>
        <w:tc>
          <w:tcPr>
            <w:tcW w:w="182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F83D87" w14:textId="77777777" w:rsidR="00E97A98" w:rsidRDefault="00E97A98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თავრობის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D1606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7 162 138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22B494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23 467 463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7667CA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785194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E6027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E97A98" w14:paraId="1C852C56" w14:textId="77777777" w:rsidTr="00EF45AF">
        <w:trPr>
          <w:trHeight w:hRule="exact" w:val="216"/>
        </w:trPr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FDA69A2" w14:textId="77777777" w:rsidR="00E97A98" w:rsidRDefault="00E97A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მრავალმხრივი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კრედიტორები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135C8C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5 010 415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D22187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16 417 126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65D1A80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CCE6DE6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5B02BE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97A98" w14:paraId="1FE0036D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95B7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ასოციაცია</w:t>
            </w:r>
            <w:r>
              <w:rPr>
                <w:rFonts w:ascii="Calibri" w:hAnsi="Calibri" w:cs="Calibri"/>
                <w:sz w:val="18"/>
                <w:szCs w:val="18"/>
              </w:rPr>
              <w:t>(WB - IDA)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6958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22F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669 651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6E614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2 194 180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7C5A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75D9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EE26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0,070%</w:t>
            </w:r>
          </w:p>
        </w:tc>
      </w:tr>
      <w:tr w:rsidR="00E97A98" w14:paraId="2D2826B1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0320E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2B8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08B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241 541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A47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791 432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FBF6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F5E7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6BE1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0,067%</w:t>
            </w:r>
          </w:p>
        </w:tc>
      </w:tr>
      <w:tr w:rsidR="00E97A98" w14:paraId="6A1833A7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2B24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F1EC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FA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9 047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79E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29 642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6A34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2083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2,15%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2461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E97A98" w14:paraId="39AE2427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7033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ასოციაცია</w:t>
            </w:r>
            <w:r>
              <w:rPr>
                <w:rFonts w:ascii="Calibri" w:hAnsi="Calibri" w:cs="Calibri"/>
                <w:sz w:val="18"/>
                <w:szCs w:val="18"/>
              </w:rPr>
              <w:t>(WB - IBRD)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28E5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74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110 510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28A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362 097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1B4A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B918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1,39%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9D5D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0,02%</w:t>
            </w:r>
          </w:p>
        </w:tc>
      </w:tr>
      <w:tr w:rsidR="00E97A98" w14:paraId="63752E7C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DADBA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B64C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9E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9 167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27F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30 037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D30C8" w14:textId="77777777" w:rsidR="00E97A98" w:rsidRDefault="00E97A98" w:rsidP="00EF45A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EF45AF">
              <w:rPr>
                <w:rFonts w:ascii="Calibri" w:hAnsi="Calibri" w:cs="Calibri"/>
                <w:sz w:val="16"/>
                <w:szCs w:val="12"/>
              </w:rPr>
              <w:t>Euribor+VS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50F2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0,48%</w:t>
            </w:r>
          </w:p>
        </w:tc>
        <w:tc>
          <w:tcPr>
            <w:tcW w:w="626" w:type="pct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3CC6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</w:tr>
      <w:tr w:rsidR="00E97A98" w14:paraId="28FD0318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52530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0699F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C1A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57 956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8CD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189 900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421E81" w14:textId="77777777" w:rsidR="00E97A98" w:rsidRDefault="00E97A98" w:rsidP="00EF45A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8DAC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0,52%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E130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</w:tr>
      <w:tr w:rsidR="00E97A98" w14:paraId="5FD0BE50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C7392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5A95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BA3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54 764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AFE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179 439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423AA6" w14:textId="77777777" w:rsidR="00E97A98" w:rsidRDefault="00E97A98" w:rsidP="00EF45A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0A8E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0,67%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D75E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0,01%</w:t>
            </w:r>
          </w:p>
        </w:tc>
      </w:tr>
      <w:tr w:rsidR="00E97A98" w14:paraId="0BD06921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1E118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545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B31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7 721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8F7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25 298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69B4F3" w14:textId="77777777" w:rsidR="00E97A98" w:rsidRDefault="00E97A98" w:rsidP="00EF45A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FBD9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A537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</w:tr>
      <w:tr w:rsidR="00E97A98" w14:paraId="16B114A1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DBE53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5DDB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5D0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44 187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71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144 784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F43114" w14:textId="77777777" w:rsidR="00E97A98" w:rsidRDefault="00E97A98" w:rsidP="00EF45A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B725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0,82%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DE4D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0,01%</w:t>
            </w:r>
          </w:p>
        </w:tc>
      </w:tr>
      <w:tr w:rsidR="00E97A98" w14:paraId="7E84CDBD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11605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73C3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F7A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862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359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5760C2" w14:textId="77777777" w:rsidR="00E97A98" w:rsidRDefault="00E97A98" w:rsidP="00EF45A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7BD1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0,87%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8B5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050F7BA9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5C7E4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55F5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E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163 291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81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535 039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772B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Libor+VS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8A51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0,64%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1DED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0,015%</w:t>
            </w:r>
          </w:p>
        </w:tc>
      </w:tr>
      <w:tr w:rsidR="00E97A98" w14:paraId="39081F55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7BECA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F0E4B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34F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43 273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491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141 789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F09FA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A327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0,84%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F0D2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E97A98" w14:paraId="39D200BF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6C005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145E0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75D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50 590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C6A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165 765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A4865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FF7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0,94%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E564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E97A98" w14:paraId="307E5A16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37661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13CA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D59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169 989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20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556 987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C0A50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D94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6790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0,023%</w:t>
            </w:r>
          </w:p>
        </w:tc>
      </w:tr>
      <w:tr w:rsidR="00E97A98" w14:paraId="4432A2BC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2D5BB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E5BAC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AF5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28 934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4D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94 805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E27C0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804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0,98%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B65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E97A98" w14:paraId="5F4A3CAA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9E78D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50395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528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148 407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85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486 270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35A9C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092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1,04%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BAAF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0,022%</w:t>
            </w:r>
          </w:p>
        </w:tc>
      </w:tr>
      <w:tr w:rsidR="00E97A98" w14:paraId="5B5D6A1C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6206C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6A0D6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DDC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54 815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3D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179 608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93EAA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719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1,16%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AFE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E97A98" w14:paraId="604363F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C9B6D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3639D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EA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144 494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6DF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473 450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BE0B4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9F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9FBF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0,025%</w:t>
            </w:r>
          </w:p>
        </w:tc>
      </w:tr>
      <w:tr w:rsidR="00E97A98" w14:paraId="4FB82748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F71B2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98784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23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6 795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6BA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22 265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0AC4A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06F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1,27%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06E6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11694DD5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7C208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B94AF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C70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35 919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4B8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117 692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6B5B1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842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1,28%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FE5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E97A98" w14:paraId="426EDB0E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A725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სოფლის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მეურნეობის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ფონდი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E3D8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88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18 351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B345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60 129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2E4A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A198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3C5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49869954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6ED2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33C0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0ED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11 774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098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38 579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4351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5A44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BE11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E97A98" w14:paraId="5040B448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4F5EB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205E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AD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3 957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E4A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12 964,62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ADCE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A314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986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10BD0B42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1A93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733D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ABF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4DD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5 704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4126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270E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0,99%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267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70C82CD8" w14:textId="77777777" w:rsidTr="00EF45AF">
        <w:trPr>
          <w:trHeight w:hRule="exact" w:val="511"/>
        </w:trPr>
        <w:tc>
          <w:tcPr>
            <w:tcW w:w="1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91A8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სავალუტო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ფონდი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(IMF EFF,MOF)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BA17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D8F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211 719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BEE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693 720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6F7C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B46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1,05%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EFB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0,031%</w:t>
            </w:r>
          </w:p>
        </w:tc>
      </w:tr>
      <w:tr w:rsidR="00E97A98" w14:paraId="624E473A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489D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ევროგაერთიანება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8979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CA0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116 649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B3E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382 214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699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E88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0,13%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C43B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5CC77F4A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590E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57E3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653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12 279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819A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40 233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D866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A93C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0,52%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427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705EA8BC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B1777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2B6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4CA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15 963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FD05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52 303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8E82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0249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1,16%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CD0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E97A98" w14:paraId="3AADA456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25CF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37D9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12B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18 418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241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60 349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811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3D3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D86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E97A98" w14:paraId="6240811E" w14:textId="77777777" w:rsidTr="00EF45AF">
        <w:trPr>
          <w:trHeight w:hRule="exact" w:val="216"/>
        </w:trPr>
        <w:tc>
          <w:tcPr>
            <w:tcW w:w="1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4492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ევროპის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რეკონსტრუქციის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და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59E5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A3A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199 175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BE72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652 617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F753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EURIBOR+ 1%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0CC1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0,91%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1A98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0,025%</w:t>
            </w:r>
          </w:p>
        </w:tc>
      </w:tr>
      <w:tr w:rsidR="00E97A98" w14:paraId="40DCEAC4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222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აზიის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D452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0BD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62 117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9AD2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203 532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11D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D8E8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523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E97A98" w14:paraId="68B1BB69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73DA9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58224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1C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339 376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D1C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1 112 001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40CB7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B283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B8F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0,071%</w:t>
            </w:r>
          </w:p>
        </w:tc>
      </w:tr>
      <w:tr w:rsidR="00E97A98" w14:paraId="7111299F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FA9A1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29FB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74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35 158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8E7A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115 198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9CA7D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0EF8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D06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E97A98" w14:paraId="13A58013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6B9CA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4C20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6E5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231 081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9169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757 158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9452A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2D80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9A2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0,065%</w:t>
            </w:r>
          </w:p>
        </w:tc>
      </w:tr>
      <w:tr w:rsidR="00E97A98" w14:paraId="7771FDE7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F1691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A552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232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113 337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DD1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371 359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CADB1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3321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0,26%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22B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E97A98" w14:paraId="36FFF48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679EE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098C5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9A6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20 354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3D4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66 691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C12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2F8B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0,05%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695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50A1C127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55795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B5DD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A4B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12 416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F57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40 681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D804B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AA21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0,22%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7D7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614F366D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BD24D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CBB5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2A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27 977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9FA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91 670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9A016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5FBA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0,27%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3368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628CCDB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7D096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9CDED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E93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120 650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E76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395 323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A14C8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0C9A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0,29%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EEE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E97A98" w14:paraId="59FD405C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D6E47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707C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24F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71 049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A91A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232 800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B2E54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18E9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0,58%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8BFA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E97A98" w14:paraId="6E3C35AC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AE954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2889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F4A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41 667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E645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136 525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BF24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AB97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0,60%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764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E97A98" w14:paraId="434A8D44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3EF30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C6E6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43D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69 909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6FB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229 063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234BC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FBC6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0,76%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BFD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E97A98" w14:paraId="229249F0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A4977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12F3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15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E55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39 319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74D66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2162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0,77%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946E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4F8C8505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B483D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F3403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277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45 833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BC6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150 178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178F8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A6C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0,84%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E26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E97A98" w14:paraId="7D5974B8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7EC3A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5DFC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827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89 030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A52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291 715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36249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0F9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0,96%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35E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0,012%</w:t>
            </w:r>
          </w:p>
        </w:tc>
      </w:tr>
      <w:tr w:rsidR="00E97A98" w14:paraId="0C7F3097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FB193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C429E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AF1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34 863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E03C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114 233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2313B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88FC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0,99%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8A8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E97A98" w14:paraId="1471918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7D8A4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BF81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8CF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47 606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603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155 985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7DC81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F75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AE6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E97A98" w14:paraId="0148839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93917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1F05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B95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69 116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079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226 465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37024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3B6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1,22%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CD0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0,012%</w:t>
            </w:r>
          </w:p>
        </w:tc>
      </w:tr>
      <w:tr w:rsidR="00E97A98" w14:paraId="67D54159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BE7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აზიის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ინფრასტრუქტურის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F869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8AC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38 071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6B0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124 743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FCB20" w14:textId="77777777" w:rsidR="00E97A98" w:rsidRDefault="00E97A98" w:rsidP="00EF45A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LIBOR + V Spread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423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1,68%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560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E97A98" w14:paraId="5B5AB98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DD21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271C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3B3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121 453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388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397 952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1F1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VSpread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320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0,50%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89C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E97A98" w14:paraId="0033589E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057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ევროსაბჭოს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3117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FDC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542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7 205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FDB2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71F5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157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0431D2BD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4578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DC8C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17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BAA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3 627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F840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VSpread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8328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D4F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69A5156C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4952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ევროპის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საინვესტიციო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>(EIB)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8C28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AB4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104 371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A1D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341 981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541B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10E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0,31%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FD9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E97A98" w14:paraId="3CDB8C9E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3C292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C624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F1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24 558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B82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80 466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8950C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234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0,59%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3DD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35565620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E5A9F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75BB5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EF5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10 255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CC7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33 601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801F1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923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0,86%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F78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36ED8416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2D4ED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F76FE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C18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24 558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DD9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80 466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E1AE4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3A5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0,87%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50E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E97A98" w14:paraId="6AA2D956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1157C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2198D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187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12 279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F90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40 233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3E4D3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22A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151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E97A98" w14:paraId="42DC4072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8AB1C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9161C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E7D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27 093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21B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88 772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83021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E93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1,69%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0FE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E97A98" w14:paraId="2BABBE0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12C1C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5E7B8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48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24 558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C75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80 466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2BB44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761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1,937%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2EF1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E97A98" w14:paraId="5129A05F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680BD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5BD35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7F7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353 018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7AC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1 156 699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72AF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EURIBOR+FS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848C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CEE9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5E7679D6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A390C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B67B6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8F9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24 558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E2A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80 466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572D7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C6F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0,15%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87CB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74F0FFD5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CE77B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F9E8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F0C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13 164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F02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43 134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B3799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52C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0434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0F6B498E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38BE2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A408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7CA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67 222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8F1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220 259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7B04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1CFB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0,27%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422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E97A98" w14:paraId="77C21F55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18456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901D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7D3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11 130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77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36 467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D43FC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297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0,31%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529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3BB8C157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8F8F6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3E396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D2D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39 849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09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130 570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C50A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F08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0,32%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A2F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0E5E5C25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E02FE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5A2B1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0A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3 684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F4B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12 070</w:t>
            </w:r>
          </w:p>
        </w:tc>
        <w:tc>
          <w:tcPr>
            <w:tcW w:w="7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5D245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6F95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0,51%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38A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4F9102C4" w14:textId="77777777" w:rsidTr="00EF45AF">
        <w:trPr>
          <w:trHeight w:hRule="exact" w:val="556"/>
        </w:trPr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13F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სკანდინავიური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გარემოსდაცვის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საფინანსო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კორპორაცია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(NEFCO)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6481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81C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2 564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869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8 402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0198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A6A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573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332034C7" w14:textId="77777777" w:rsidTr="00EF45AF">
        <w:trPr>
          <w:trHeight w:hRule="exact" w:val="278"/>
        </w:trPr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92409F9" w14:textId="77777777" w:rsidR="00E97A98" w:rsidRDefault="00E97A98" w:rsidP="00EF45A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ორმხრივი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კრედიტორები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69F5718" w14:textId="77777777" w:rsidR="00E97A98" w:rsidRDefault="00E97A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9DD120D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1 650 025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10A70DC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5 406 472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8989697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0D6038F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536395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97A98" w14:paraId="52288B65" w14:textId="77777777" w:rsidTr="00EF45AF">
        <w:trPr>
          <w:trHeight w:hRule="exact" w:val="216"/>
        </w:trPr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94A0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ავსტრია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B245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A32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19 191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282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62 880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BF66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7AB4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739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E97A98" w14:paraId="43694B54" w14:textId="77777777" w:rsidTr="00EF45AF">
        <w:trPr>
          <w:trHeight w:hRule="exact" w:val="216"/>
        </w:trPr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75FC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აზერბაიჯანი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2BA6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6B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5 491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2B64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17 992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69F6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EDAD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0D1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5F836BA3" w14:textId="77777777" w:rsidTr="00EF45AF">
        <w:trPr>
          <w:trHeight w:hRule="exact" w:val="216"/>
        </w:trPr>
        <w:tc>
          <w:tcPr>
            <w:tcW w:w="13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A7CA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თურქმენეთი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B4CB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A35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BE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692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71CB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5BAB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488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25F4E067" w14:textId="77777777" w:rsidTr="00EF45AF">
        <w:trPr>
          <w:trHeight w:hRule="exact" w:val="216"/>
        </w:trPr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2B13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თურქეთი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5017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A8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10 617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E77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34 786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05FD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9FAB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3,13%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369F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E97A98" w14:paraId="34953E70" w14:textId="77777777" w:rsidTr="00EF45AF">
        <w:trPr>
          <w:trHeight w:hRule="exact" w:val="216"/>
        </w:trPr>
        <w:tc>
          <w:tcPr>
            <w:tcW w:w="13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A7AF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ირანი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BD5D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7BF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4 114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85A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13 480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760D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AA21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6C7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21D89C8D" w14:textId="77777777" w:rsidTr="00EF45AF">
        <w:trPr>
          <w:trHeight w:hRule="exact" w:val="216"/>
        </w:trPr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0D2D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რუსეთი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3EC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0FC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40 454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243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132 552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9A43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E392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B50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0,023%</w:t>
            </w:r>
          </w:p>
        </w:tc>
      </w:tr>
      <w:tr w:rsidR="00E97A98" w14:paraId="1E50D38E" w14:textId="77777777" w:rsidTr="00EF45AF">
        <w:trPr>
          <w:trHeight w:hRule="exact" w:val="216"/>
        </w:trPr>
        <w:tc>
          <w:tcPr>
            <w:tcW w:w="13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851F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სომხეთი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BD11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7F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5 485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131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17 973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1089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3FA3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52D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20066B30" w14:textId="77777777" w:rsidTr="00EF45AF">
        <w:trPr>
          <w:trHeight w:hRule="exact" w:val="216"/>
        </w:trPr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B326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უზბეკეთი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73FF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A8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542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169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CDDE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9547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FF0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5CE61A88" w14:textId="77777777" w:rsidTr="00EF45AF">
        <w:trPr>
          <w:trHeight w:hRule="exact" w:val="216"/>
        </w:trPr>
        <w:tc>
          <w:tcPr>
            <w:tcW w:w="13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DA65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უკრაინა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12E2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38C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DC0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DC97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5949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786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1E1575F0" w14:textId="77777777" w:rsidTr="00EF45AF">
        <w:trPr>
          <w:trHeight w:hRule="exact" w:val="216"/>
        </w:trPr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B5F1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ყაზახეთი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8C8F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11A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8 780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445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28 769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E273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3E9E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639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E97A98" w14:paraId="78401050" w14:textId="77777777" w:rsidTr="00EF45AF">
        <w:trPr>
          <w:trHeight w:hRule="exact" w:val="216"/>
        </w:trPr>
        <w:tc>
          <w:tcPr>
            <w:tcW w:w="1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3DDF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ჩინეთი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6B00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AC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B073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3 013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FC92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4BBC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913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5EDF6786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D5A8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გერმანია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(KfW)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6CF7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EE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2 142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DE8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7 020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AC8B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409D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AA81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688A7FB5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37278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49ED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C4E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36B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2 139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D0D2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E88F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0,18%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9C9A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62071623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33BF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FCEF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086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133 840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593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438 540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2CF4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69C0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8C1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E97A98" w14:paraId="3662E698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91701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567B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93B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221 020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7D9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724 194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7E6D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FAFE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C1D0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0,014%</w:t>
            </w:r>
          </w:p>
        </w:tc>
      </w:tr>
      <w:tr w:rsidR="00E97A98" w14:paraId="3057A967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2685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72DE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6B1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110 510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27C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362 097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EDAE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FBE8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3F1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0,010%</w:t>
            </w:r>
          </w:p>
        </w:tc>
      </w:tr>
      <w:tr w:rsidR="00E97A98" w14:paraId="19908A80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AFE8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28CD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324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129 327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176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423 753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E829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3E9F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804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0,014%</w:t>
            </w:r>
          </w:p>
        </w:tc>
      </w:tr>
      <w:tr w:rsidR="00E97A98" w14:paraId="35266B19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E0E64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ED83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CF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30 251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2BA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99 121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4141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38F7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E13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E97A98" w14:paraId="420337D5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6471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0C08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659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32 992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7E7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108 101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26E6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356D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562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E97A98" w14:paraId="0B0E4AD3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CC49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C131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693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24 418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2D5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80 009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036E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6FCA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2,20%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907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E97A98" w14:paraId="7D718B89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94476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4B7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3F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12 819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547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42 003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8969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5A95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4,20%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D0F5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E97A98" w14:paraId="77B424F1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3034E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2769D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67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24 558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607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80 466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0560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1F9A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5,70%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7C3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0,020%</w:t>
            </w:r>
          </w:p>
        </w:tc>
      </w:tr>
      <w:tr w:rsidR="00E97A98" w14:paraId="1538EC69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A1F2C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AAEF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656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8 932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B3F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29 265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740F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3C74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6,68%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D0C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E97A98" w14:paraId="272DB136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3FB3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იაპონია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A1C5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0A6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27 844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441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91 233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B3B4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D900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F45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3A0D63B1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43026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7D8E1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F6A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142 131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052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465 706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BAFB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1C83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D42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0,013%</w:t>
            </w:r>
          </w:p>
        </w:tc>
      </w:tr>
      <w:tr w:rsidR="00E97A98" w14:paraId="128557FA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650B3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29CE0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F98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1 282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1DD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4 200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8955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6976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A3D7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7FB77A7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CBF9B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F501C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21D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27 334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A6A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89 561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305B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E8F7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00E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E97A98" w14:paraId="6D66197D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2C096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316BA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CE6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18 890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811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61 896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80FC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106E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2,30%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90B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E97A98" w14:paraId="296E4E0E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B0EC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კუვეიტი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FF6A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496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2 374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7C6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7 779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F28F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3C31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C25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0C337163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4482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E566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06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544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22 855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A906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318F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6E4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E97A98" w14:paraId="7A663F5E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A368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ნიდერლანდები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8859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A7A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2A6E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420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922C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86E6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4,20%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640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5FF05D88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A0484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C101A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683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189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865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9713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9B64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5,10%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C2F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738893E3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1D46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აშშ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CB5E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8CD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2C8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251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71C6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8721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D55F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104A82D1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68AB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560B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A96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6 256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CFB9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20 497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6ABB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7996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B8A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139BF81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47B9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35BC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499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3 822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B71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12 523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0E4C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44E2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2,25%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FA3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6B9EE06F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D02A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C97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E9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5 360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B4E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17 562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143F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9DF4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6B01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2C53F505" w14:textId="77777777" w:rsidTr="00EF45AF">
        <w:trPr>
          <w:trHeight w:hRule="exact" w:val="216"/>
        </w:trPr>
        <w:tc>
          <w:tcPr>
            <w:tcW w:w="139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005A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საფრანგეთი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6A9D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F4C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14 594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7E2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47 817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FEA9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88A7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0,17%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B8C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67660BF4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B950A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15A68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FCF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233 299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01A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764 427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8112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7E88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0,42%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15712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0,014%</w:t>
            </w:r>
          </w:p>
        </w:tc>
      </w:tr>
      <w:tr w:rsidR="00E97A98" w14:paraId="44B826A0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E5753E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FB10E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E48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23 119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92D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75 750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3FE1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8D81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1,10%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5876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E97A98" w14:paraId="6F4930F1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EA868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F8748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A56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13 969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4ED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45 771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9441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5C4B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1,27%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F686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E97A98" w14:paraId="085DF60B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78B95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2B19C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AFB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23 596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18D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77 315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FC90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F760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1,41%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6AC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E97A98" w14:paraId="5F8E646A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4C6FC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273DD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8F3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263 996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B32F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865 010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DECD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4C5A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A30A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E97A98" w14:paraId="0B5201AD" w14:textId="77777777" w:rsidTr="00EF45AF">
        <w:trPr>
          <w:trHeight w:hRule="exact" w:val="216"/>
        </w:trPr>
        <w:tc>
          <w:tcPr>
            <w:tcW w:w="139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F0FAB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9192A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5ED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237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25 865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62DCD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7D357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571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E97A98" w14:paraId="5080299B" w14:textId="77777777" w:rsidTr="00EF45AF">
        <w:trPr>
          <w:trHeight w:hRule="exact" w:val="296"/>
        </w:trPr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417135A" w14:textId="77777777" w:rsidR="00E97A98" w:rsidRDefault="00E97A98" w:rsidP="00EF45A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ფასიანი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44E44CD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B255E6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99621D6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1 638 300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9CDAF2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884556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D8E2C3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97A98" w14:paraId="6E95404A" w14:textId="77777777" w:rsidTr="00EF45AF">
        <w:trPr>
          <w:trHeight w:hRule="exact" w:val="216"/>
        </w:trPr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062F" w14:textId="77777777" w:rsidR="00E97A98" w:rsidRDefault="00E97A98" w:rsidP="00EF45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ევროობლიგაცია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21F9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32AE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CA0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1 638 300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86313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DBEA5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6,875%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7ABC4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0,480%</w:t>
            </w:r>
          </w:p>
        </w:tc>
      </w:tr>
      <w:tr w:rsidR="00E97A98" w14:paraId="0585E092" w14:textId="77777777" w:rsidTr="00EF45AF">
        <w:trPr>
          <w:trHeight w:hRule="exact" w:val="314"/>
        </w:trPr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ED038A9" w14:textId="77777777" w:rsidR="00E97A98" w:rsidRDefault="00E97A98" w:rsidP="00EF45A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კრედიტები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51AAD3F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B751B7C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1 698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6AC3678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5 564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7B26BF0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2E3C7ED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79C4F6" w14:textId="77777777" w:rsidR="00E97A98" w:rsidRDefault="00E97A98" w:rsidP="00EF45A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97A98" w14:paraId="5B04345F" w14:textId="77777777" w:rsidTr="00EF45AF">
        <w:trPr>
          <w:trHeight w:hRule="exact" w:val="216"/>
        </w:trPr>
        <w:tc>
          <w:tcPr>
            <w:tcW w:w="13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F449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გერმანია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(KfW)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9E03" w14:textId="77777777" w:rsidR="00E97A98" w:rsidRDefault="00E97A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BEEC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1 698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117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5 564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4EE3F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4CAB1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C00B" w14:textId="77777777" w:rsidR="00E97A98" w:rsidRDefault="00E97A98" w:rsidP="00EF45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E97A98" w14:paraId="241ACEF4" w14:textId="77777777" w:rsidTr="00EF45AF">
        <w:trPr>
          <w:trHeight w:hRule="exact" w:val="341"/>
        </w:trPr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59FA33" w14:textId="77777777" w:rsidR="00E97A98" w:rsidRDefault="00E97A9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5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5E060A0" w14:textId="77777777" w:rsidR="00E97A98" w:rsidRDefault="00E97A9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FF0000"/>
                <w:sz w:val="18"/>
                <w:szCs w:val="18"/>
              </w:rPr>
              <w:t>საშუალო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0000"/>
                <w:sz w:val="18"/>
                <w:szCs w:val="18"/>
              </w:rPr>
              <w:t>შეწონილი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0000"/>
                <w:sz w:val="18"/>
                <w:szCs w:val="18"/>
              </w:rPr>
              <w:t>საპროცენტო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0000"/>
                <w:sz w:val="18"/>
                <w:szCs w:val="18"/>
              </w:rPr>
              <w:t>განაკვეთი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E7BBC2" w14:textId="77777777" w:rsidR="00E97A98" w:rsidRDefault="00E97A9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1,33%</w:t>
            </w:r>
          </w:p>
        </w:tc>
      </w:tr>
    </w:tbl>
    <w:p w14:paraId="33823970" w14:textId="77777777" w:rsidR="000A407F" w:rsidRDefault="00E97A98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br w:type="textWrapping" w:clear="all"/>
      </w:r>
    </w:p>
    <w:p w14:paraId="25E24C84" w14:textId="77777777" w:rsidR="00797BDC" w:rsidRPr="00E97A98" w:rsidRDefault="00BE093C" w:rsidP="00E97A98">
      <w:pPr>
        <w:ind w:firstLine="720"/>
        <w:jc w:val="both"/>
        <w:rPr>
          <w:rFonts w:ascii="Calibri" w:eastAsia="Times New Roman" w:hAnsi="Calibri" w:cs="Calibri"/>
          <w:bCs/>
          <w:iCs/>
          <w:color w:val="000000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C34061" w:rsidRPr="00140A25">
        <w:rPr>
          <w:rFonts w:ascii="Sylfaen" w:hAnsi="Sylfaen" w:cs="Sylfaen"/>
          <w:szCs w:val="21"/>
          <w:shd w:val="clear" w:color="auto" w:fill="FFFFFF"/>
        </w:rPr>
        <w:t>20</w:t>
      </w:r>
      <w:r w:rsidR="000F5720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განმავლობაში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E97A98">
        <w:rPr>
          <w:rFonts w:ascii="Sylfaen" w:hAnsi="Sylfaen" w:cs="Sylfaen"/>
          <w:szCs w:val="21"/>
          <w:shd w:val="clear" w:color="auto" w:fill="FFFFFF"/>
          <w:lang w:val="ka-GE"/>
        </w:rPr>
        <w:t>1,238</w:t>
      </w:r>
      <w:r w:rsidR="00E97A98">
        <w:rPr>
          <w:rFonts w:ascii="Calibri" w:eastAsia="Times New Roman" w:hAnsi="Calibri" w:cs="Calibri"/>
          <w:bCs/>
          <w:iCs/>
          <w:color w:val="000000"/>
        </w:rPr>
        <w:t>,</w:t>
      </w:r>
      <w:r w:rsidR="00E97A98">
        <w:rPr>
          <w:rFonts w:ascii="Sylfaen" w:eastAsia="Times New Roman" w:hAnsi="Sylfaen" w:cs="Calibri"/>
          <w:bCs/>
          <w:iCs/>
          <w:color w:val="000000"/>
          <w:lang w:val="ka-GE"/>
        </w:rPr>
        <w:t>414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E97A98">
        <w:rPr>
          <w:rFonts w:ascii="Sylfaen" w:eastAsia="Times New Roman" w:hAnsi="Sylfaen" w:cs="Calibri"/>
          <w:bCs/>
          <w:iCs/>
          <w:color w:val="000000"/>
          <w:lang w:val="ka-GE"/>
        </w:rPr>
        <w:t>7</w:t>
      </w:r>
      <w:r w:rsidR="00930DB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E97A98">
        <w:rPr>
          <w:rFonts w:ascii="Sylfaen" w:hAnsi="Sylfaen" w:cs="Sylfaen"/>
          <w:szCs w:val="21"/>
          <w:shd w:val="clear" w:color="auto" w:fill="FFFFFF"/>
          <w:lang w:val="ka-GE"/>
        </w:rPr>
        <w:t>901,919.1</w:t>
      </w:r>
      <w:r w:rsidR="00397075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97A98">
        <w:rPr>
          <w:rFonts w:ascii="Sylfaen" w:eastAsia="Times New Roman" w:hAnsi="Sylfaen" w:cs="Calibri"/>
          <w:bCs/>
          <w:iCs/>
          <w:color w:val="000000"/>
          <w:lang w:val="ka-GE"/>
        </w:rPr>
        <w:t>336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,</w:t>
      </w:r>
      <w:r w:rsidR="00E97A98">
        <w:rPr>
          <w:rFonts w:ascii="Sylfaen" w:eastAsia="Times New Roman" w:hAnsi="Sylfaen" w:cs="Calibri"/>
          <w:bCs/>
          <w:iCs/>
          <w:color w:val="000000"/>
          <w:lang w:val="ka-GE"/>
        </w:rPr>
        <w:t>495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E97A98">
        <w:rPr>
          <w:rFonts w:ascii="Sylfaen" w:eastAsia="Times New Roman" w:hAnsi="Sylfaen" w:cs="Calibri"/>
          <w:bCs/>
          <w:iCs/>
          <w:color w:val="000000"/>
          <w:lang w:val="ka-GE"/>
        </w:rPr>
        <w:t>6</w:t>
      </w:r>
      <w:r w:rsidR="00930DB7">
        <w:rPr>
          <w:rFonts w:ascii="Calibri" w:eastAsia="Times New Roman" w:hAnsi="Calibri" w:cs="Calibri"/>
          <w:bCs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14:paraId="759E1AB9" w14:textId="77777777" w:rsidR="008D7692" w:rsidRDefault="008D7692">
      <w:pPr>
        <w:rPr>
          <w:rFonts w:ascii="Sylfaen" w:hAnsi="Sylfaen" w:cs="Sylfaen"/>
          <w:b/>
          <w:szCs w:val="18"/>
          <w:shd w:val="clear" w:color="auto" w:fill="FFFFFF"/>
        </w:rPr>
      </w:pPr>
      <w:r>
        <w:rPr>
          <w:rFonts w:ascii="Sylfaen" w:hAnsi="Sylfaen" w:cs="Sylfaen"/>
          <w:b/>
          <w:szCs w:val="18"/>
          <w:shd w:val="clear" w:color="auto" w:fill="FFFFFF"/>
        </w:rPr>
        <w:br w:type="page"/>
      </w:r>
    </w:p>
    <w:p w14:paraId="4D7422F1" w14:textId="77777777" w:rsidR="00B232D4" w:rsidRDefault="00B232D4" w:rsidP="00FB01F8">
      <w:pPr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7B6D5B94" w14:textId="77777777" w:rsidR="004816BC" w:rsidRPr="00140A25" w:rsidRDefault="00FE7942" w:rsidP="00FB01F8">
      <w:pPr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140A25">
        <w:rPr>
          <w:rFonts w:ascii="Sylfaen" w:hAnsi="Sylfaen"/>
          <w:b/>
          <w:lang w:val="ka-GE"/>
        </w:rPr>
        <w:t>20</w:t>
      </w:r>
      <w:r w:rsidR="000A407F">
        <w:rPr>
          <w:rFonts w:ascii="Sylfaen" w:hAnsi="Sylfaen"/>
          <w:b/>
          <w:lang w:val="ka-GE"/>
        </w:rPr>
        <w:t>20</w:t>
      </w:r>
      <w:r w:rsidR="000F5720" w:rsidRPr="00140A25">
        <w:rPr>
          <w:rFonts w:ascii="Sylfaen" w:hAnsi="Sylfaen"/>
          <w:b/>
          <w:lang w:val="ka-GE"/>
        </w:rPr>
        <w:t xml:space="preserve"> წლის </w:t>
      </w:r>
      <w:r w:rsidR="00E97A98">
        <w:rPr>
          <w:rFonts w:ascii="Sylfaen" w:hAnsi="Sylfaen"/>
          <w:b/>
          <w:lang w:val="ka-GE"/>
        </w:rPr>
        <w:t>31 დეკემბრის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D691A" w:rsidRPr="00140A25">
        <w:rPr>
          <w:rFonts w:ascii="Sylfaen" w:hAnsi="Sylfaen"/>
          <w:b/>
          <w:lang w:val="ka-GE"/>
        </w:rPr>
        <w:t>მდგომარეობით</w:t>
      </w:r>
    </w:p>
    <w:p w14:paraId="2D5F296A" w14:textId="77777777" w:rsidR="006F461C" w:rsidRPr="00140A25" w:rsidRDefault="006F461C" w:rsidP="00023C53">
      <w:pPr>
        <w:tabs>
          <w:tab w:val="left" w:pos="567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14:paraId="36C489AC" w14:textId="77777777" w:rsidR="006F461C" w:rsidRPr="00023C53" w:rsidRDefault="00023C53" w:rsidP="00023C53">
      <w:pPr>
        <w:tabs>
          <w:tab w:val="left" w:pos="0"/>
        </w:tabs>
        <w:spacing w:after="0" w:line="240" w:lineRule="auto"/>
        <w:ind w:right="173" w:firstLine="720"/>
        <w:jc w:val="center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</w:t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         </w:t>
      </w: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744"/>
        <w:gridCol w:w="2112"/>
        <w:gridCol w:w="2112"/>
        <w:gridCol w:w="2112"/>
      </w:tblGrid>
      <w:tr w:rsidR="00930DB7" w:rsidRPr="00247D3D" w14:paraId="5D262577" w14:textId="77777777" w:rsidTr="00EF45AF">
        <w:trPr>
          <w:trHeight w:hRule="exact" w:val="448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24DDF" w14:textId="77777777" w:rsidR="00930DB7" w:rsidRPr="00BA1426" w:rsidRDefault="00930DB7" w:rsidP="00930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BA142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კრედიტორები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23B4F" w14:textId="77777777" w:rsidR="00930DB7" w:rsidRPr="00BA1426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BA142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ვალების</w:t>
            </w:r>
            <w:r w:rsidRPr="00BA1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BA142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დაფარვა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9EA44" w14:textId="77777777" w:rsidR="00930DB7" w:rsidRPr="00BA1426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BA142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პროცენტი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EC1" w14:textId="77777777" w:rsidR="00930DB7" w:rsidRPr="00BA1426" w:rsidRDefault="00930DB7" w:rsidP="00930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BA142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სულ</w:t>
            </w:r>
            <w:r w:rsidRPr="00BA1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2020</w:t>
            </w:r>
          </w:p>
        </w:tc>
      </w:tr>
      <w:tr w:rsidR="00E97A98" w:rsidRPr="00247D3D" w14:paraId="6D8B7F17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B782551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ავსტრია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3C5B28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4 282,3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581F95B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618,4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6647DA38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4 900,7</w:t>
            </w:r>
          </w:p>
        </w:tc>
      </w:tr>
      <w:tr w:rsidR="00E97A98" w:rsidRPr="00247D3D" w14:paraId="2791A71A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B979303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კუვეიტი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0EFA518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4 119,6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49D5CBE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765,2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43FBA264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4 884,8</w:t>
            </w:r>
          </w:p>
        </w:tc>
      </w:tr>
      <w:tr w:rsidR="00E97A98" w:rsidRPr="00247D3D" w14:paraId="6C800122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9C462F2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იაპონია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E1490DE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25 315,0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6065BE8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5 514,9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0D00A329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30 829,9</w:t>
            </w:r>
          </w:p>
        </w:tc>
      </w:tr>
      <w:tr w:rsidR="00E97A98" w:rsidRPr="00247D3D" w14:paraId="30E04BBB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5B859C2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გერმანია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C582A3E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83 006,0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D5939EE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30 221,2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53103C25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113 227,2</w:t>
            </w:r>
          </w:p>
        </w:tc>
      </w:tr>
      <w:tr w:rsidR="00E97A98" w:rsidRPr="00247D3D" w14:paraId="5D0F9694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7C61B2E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აშშ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60D69CE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7 454,1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BA10994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1 253,9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6BF97BCF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8 708,0</w:t>
            </w:r>
          </w:p>
        </w:tc>
      </w:tr>
      <w:tr w:rsidR="00E97A98" w:rsidRPr="00247D3D" w14:paraId="4A086EF7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A1098A3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სომხეთი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9BC7C22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5 044,7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EF2F2CD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612,7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09598322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5 657,5</w:t>
            </w:r>
          </w:p>
        </w:tc>
      </w:tr>
      <w:tr w:rsidR="00E97A98" w:rsidRPr="00247D3D" w14:paraId="60817A1D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095DBBD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აზერბაიჯანი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01BAB9D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3 635,2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0938A97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569,1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4738938E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4 204,4</w:t>
            </w:r>
          </w:p>
        </w:tc>
      </w:tr>
      <w:tr w:rsidR="00E97A98" w:rsidRPr="00247D3D" w14:paraId="384162CA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23687F8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ირანი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10B2256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2 963,3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3313701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431,3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1217DB36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3 394,6</w:t>
            </w:r>
          </w:p>
        </w:tc>
      </w:tr>
      <w:tr w:rsidR="00E97A98" w:rsidRPr="00247D3D" w14:paraId="05917487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F77A464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ყაზახეთი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EA7554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13 733,3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CA41207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7 120,3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5D54496B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20 853,6</w:t>
            </w:r>
          </w:p>
        </w:tc>
      </w:tr>
      <w:tr w:rsidR="00E97A98" w:rsidRPr="00247D3D" w14:paraId="5D25517F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8300CAD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ნიდერლანდები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6631414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782,7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20604D4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84,4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7BF41061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867,1</w:t>
            </w:r>
          </w:p>
        </w:tc>
      </w:tr>
      <w:tr w:rsidR="00E97A98" w:rsidRPr="00247D3D" w14:paraId="0EB5E1E8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BB46381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რუსეთი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25A3B0E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33 218,6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A987734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5 888,9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7621EE0A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39 107,5</w:t>
            </w:r>
          </w:p>
        </w:tc>
      </w:tr>
      <w:tr w:rsidR="00E97A98" w:rsidRPr="00247D3D" w14:paraId="562D0687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2A846E3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თურქეთი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CB468DA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6 862,6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0274CBB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1 194,1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2EB7A476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8 056,7</w:t>
            </w:r>
          </w:p>
        </w:tc>
      </w:tr>
      <w:tr w:rsidR="00E97A98" w:rsidRPr="00247D3D" w14:paraId="07FD1845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86043B5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უკრაინა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012485A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135,1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86E771F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7,5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60DC8C3E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142,6</w:t>
            </w:r>
          </w:p>
        </w:tc>
      </w:tr>
      <w:tr w:rsidR="00E97A98" w:rsidRPr="00247D3D" w14:paraId="227CF669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98B835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უზბეკეთი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4DF7203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147,9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25D619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8,2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25936456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156,1</w:t>
            </w:r>
          </w:p>
        </w:tc>
      </w:tr>
      <w:tr w:rsidR="00E97A98" w:rsidRPr="00247D3D" w14:paraId="66C126C0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F05D258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საფრანგეთი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D63364A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71 050,1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22670D4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10 691,9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07C3347C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81 742,0</w:t>
            </w:r>
          </w:p>
        </w:tc>
      </w:tr>
      <w:tr w:rsidR="00E97A98" w:rsidRPr="00247D3D" w14:paraId="5D367543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AF88C50" w14:textId="77777777" w:rsidR="00E97A98" w:rsidRPr="00BA1426" w:rsidRDefault="00E97A98" w:rsidP="00E97A98">
            <w:pPr>
              <w:rPr>
                <w:sz w:val="18"/>
              </w:rPr>
            </w:pPr>
            <w:r w:rsidRPr="00BA1426">
              <w:rPr>
                <w:rFonts w:ascii="Sylfaen" w:hAnsi="Sylfaen" w:cs="Sylfaen"/>
                <w:sz w:val="18"/>
              </w:rPr>
              <w:t>ჩინეთი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C2B9681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1 194,3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F39AA9B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2252CAB0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1 194,3</w:t>
            </w:r>
          </w:p>
        </w:tc>
      </w:tr>
      <w:tr w:rsidR="00E97A98" w:rsidRPr="00247D3D" w14:paraId="4E3FFA66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D3D7571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IDA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9CF2B53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266 302,6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BDB643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30 490,5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6806217F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296 793,1</w:t>
            </w:r>
          </w:p>
        </w:tc>
      </w:tr>
      <w:tr w:rsidR="00E97A98" w:rsidRPr="00247D3D" w14:paraId="405CA248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775FF2A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IBRD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4CA9525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39 281,3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AC890B1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64 606,3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7B63D7D9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103 887,5</w:t>
            </w:r>
          </w:p>
        </w:tc>
      </w:tr>
      <w:tr w:rsidR="00E97A98" w:rsidRPr="00247D3D" w14:paraId="0A5D67E7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CCA8723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IFAD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0AF2188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5 112,7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9A633C1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1 214,9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181C2252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6 327,6</w:t>
            </w:r>
          </w:p>
        </w:tc>
      </w:tr>
      <w:tr w:rsidR="00E97A98" w:rsidRPr="00247D3D" w14:paraId="5EC77401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C67C0AA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EBRD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35718FD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53 394,0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F669CF1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6 415,5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4E9FAD48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59 809,5</w:t>
            </w:r>
          </w:p>
        </w:tc>
      </w:tr>
      <w:tr w:rsidR="00E97A98" w:rsidRPr="00247D3D" w14:paraId="60389461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4BA23D4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EIB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FD5136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34 616,4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8214C3F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6 912,7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3076FF9A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41 529,2</w:t>
            </w:r>
          </w:p>
        </w:tc>
      </w:tr>
      <w:tr w:rsidR="00E97A98" w:rsidRPr="00247D3D" w14:paraId="6F1E907C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A13A7B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ADB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54D7A71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240 142,4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85F2155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43 634,6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048EA362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283 776,9</w:t>
            </w:r>
          </w:p>
        </w:tc>
      </w:tr>
      <w:tr w:rsidR="00E97A98" w:rsidRPr="00247D3D" w14:paraId="5A58EE32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299D37F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IMF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25358B8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27F83C8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6 810,7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60EF6094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6 810,7</w:t>
            </w:r>
          </w:p>
        </w:tc>
      </w:tr>
      <w:tr w:rsidR="00E97A98" w:rsidRPr="00247D3D" w14:paraId="75413344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0B6EB9A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EU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4793AF4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9D76B78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1 438,8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3842C9B7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1 438,8</w:t>
            </w:r>
          </w:p>
        </w:tc>
      </w:tr>
      <w:tr w:rsidR="00E97A98" w:rsidRPr="00247D3D" w14:paraId="1CED533B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158A3F9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CEB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097736E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D3412FB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7,4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01C92717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7,4</w:t>
            </w:r>
          </w:p>
        </w:tc>
      </w:tr>
      <w:tr w:rsidR="00E97A98" w:rsidRPr="00247D3D" w14:paraId="737ECCEA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79EC8EA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sz w:val="20"/>
              </w:rPr>
              <w:t>NEFCO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18E989F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124,8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681B68B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69,6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hideMark/>
          </w:tcPr>
          <w:p w14:paraId="4944E7D6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194,4</w:t>
            </w:r>
          </w:p>
        </w:tc>
      </w:tr>
      <w:tr w:rsidR="00E97A98" w:rsidRPr="00247D3D" w14:paraId="2568A238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hideMark/>
          </w:tcPr>
          <w:p w14:paraId="6288147B" w14:textId="77777777" w:rsidR="00E97A98" w:rsidRPr="00EF45AF" w:rsidRDefault="00E97A98" w:rsidP="00E97A98">
            <w:pPr>
              <w:rPr>
                <w:sz w:val="20"/>
              </w:rPr>
            </w:pPr>
            <w:r w:rsidRPr="00EF45AF">
              <w:rPr>
                <w:rFonts w:ascii="Sylfaen" w:hAnsi="Sylfaen" w:cs="Sylfaen"/>
                <w:sz w:val="20"/>
              </w:rPr>
              <w:t>ევრობონდები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hideMark/>
          </w:tcPr>
          <w:p w14:paraId="1986AD0B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-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hideMark/>
          </w:tcPr>
          <w:p w14:paraId="5EA94A39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109 912,3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54A3" w14:textId="77777777" w:rsidR="00E97A98" w:rsidRPr="00EF45AF" w:rsidRDefault="00E97A98" w:rsidP="00E97A98">
            <w:pPr>
              <w:jc w:val="center"/>
              <w:rPr>
                <w:sz w:val="20"/>
              </w:rPr>
            </w:pPr>
            <w:r w:rsidRPr="00EF45AF">
              <w:rPr>
                <w:sz w:val="20"/>
              </w:rPr>
              <w:t>109 912,3</w:t>
            </w:r>
          </w:p>
        </w:tc>
      </w:tr>
      <w:tr w:rsidR="00E97A98" w:rsidRPr="00EF45AF" w14:paraId="644DC91A" w14:textId="77777777" w:rsidTr="00EF45AF">
        <w:trPr>
          <w:trHeight w:hRule="exact" w:val="288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hideMark/>
          </w:tcPr>
          <w:p w14:paraId="3A24103E" w14:textId="77777777" w:rsidR="00E97A98" w:rsidRPr="00EF45AF" w:rsidRDefault="00E97A98" w:rsidP="00E97A98">
            <w:pPr>
              <w:rPr>
                <w:b/>
                <w:sz w:val="20"/>
              </w:rPr>
            </w:pPr>
            <w:r w:rsidRPr="00EF45AF">
              <w:rPr>
                <w:rFonts w:ascii="Sylfaen" w:hAnsi="Sylfaen" w:cs="Sylfaen"/>
                <w:b/>
                <w:sz w:val="20"/>
              </w:rPr>
              <w:t>სულ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hideMark/>
          </w:tcPr>
          <w:p w14:paraId="148FE275" w14:textId="77777777" w:rsidR="00E97A98" w:rsidRPr="00EF45AF" w:rsidRDefault="00E97A98" w:rsidP="00E97A98">
            <w:pPr>
              <w:jc w:val="center"/>
              <w:rPr>
                <w:b/>
                <w:sz w:val="20"/>
              </w:rPr>
            </w:pPr>
            <w:r w:rsidRPr="00EF45AF">
              <w:rPr>
                <w:b/>
                <w:sz w:val="20"/>
              </w:rPr>
              <w:t>901 919,1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hideMark/>
          </w:tcPr>
          <w:p w14:paraId="6EEF645D" w14:textId="77777777" w:rsidR="00E97A98" w:rsidRPr="00EF45AF" w:rsidRDefault="00E97A98" w:rsidP="00E97A98">
            <w:pPr>
              <w:jc w:val="center"/>
              <w:rPr>
                <w:b/>
                <w:sz w:val="20"/>
              </w:rPr>
            </w:pPr>
            <w:r w:rsidRPr="00EF45AF">
              <w:rPr>
                <w:b/>
                <w:sz w:val="20"/>
              </w:rPr>
              <w:t>336 495,6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3706" w14:textId="77777777" w:rsidR="00E97A98" w:rsidRPr="00EF45AF" w:rsidRDefault="00E97A98" w:rsidP="00E97A98">
            <w:pPr>
              <w:jc w:val="center"/>
              <w:rPr>
                <w:b/>
                <w:sz w:val="20"/>
              </w:rPr>
            </w:pPr>
            <w:r w:rsidRPr="00EF45AF">
              <w:rPr>
                <w:b/>
                <w:sz w:val="20"/>
              </w:rPr>
              <w:t>1 238 414,7</w:t>
            </w:r>
          </w:p>
        </w:tc>
      </w:tr>
    </w:tbl>
    <w:p w14:paraId="1728E841" w14:textId="77777777" w:rsidR="006F461C" w:rsidRPr="00EF45AF" w:rsidRDefault="006F461C" w:rsidP="00023C53">
      <w:pPr>
        <w:tabs>
          <w:tab w:val="left" w:pos="0"/>
        </w:tabs>
        <w:spacing w:after="0" w:line="240" w:lineRule="auto"/>
        <w:ind w:right="173" w:firstLine="720"/>
        <w:jc w:val="center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14:paraId="1762B81E" w14:textId="77777777" w:rsidR="009E33C4" w:rsidRPr="00140A2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 w:rsidRPr="00140A25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13E1AB5" w14:textId="77777777" w:rsidR="00396821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 w:rsidRPr="00140A25">
        <w:rPr>
          <w:rFonts w:ascii="Sylfaen" w:hAnsi="Sylfaen" w:cs="Sylfaen"/>
          <w:szCs w:val="21"/>
          <w:shd w:val="clear" w:color="auto" w:fill="FFFFFF"/>
        </w:rPr>
        <w:tab/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2020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97A98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97A98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5043A4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6B56B0" w:rsidRPr="001763FC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763FC" w:rsidRPr="001763FC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%, 12 თვიანზე 8.</w:t>
      </w:r>
      <w:r w:rsidR="001763FC" w:rsidRPr="001763FC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%, 2 წლიანზე - 8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.</w:t>
      </w:r>
      <w:r w:rsidR="001763FC" w:rsidRPr="001763FC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6B56B0" w:rsidRPr="001763FC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9304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93049">
        <w:rPr>
          <w:rFonts w:ascii="Sylfaen" w:hAnsi="Sylfaen" w:cs="Sylfaen"/>
          <w:szCs w:val="21"/>
          <w:shd w:val="clear" w:color="auto" w:fill="FFFFFF"/>
          <w:lang w:val="ka-GE"/>
        </w:rPr>
        <w:t>8.8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14:paraId="06937A5C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2020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993049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93049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993049">
        <w:rPr>
          <w:rFonts w:ascii="Sylfaen" w:hAnsi="Sylfaen" w:cs="Sylfaen"/>
          <w:shd w:val="clear" w:color="auto" w:fill="FFFFFF"/>
          <w:lang w:val="ka-GE"/>
        </w:rPr>
        <w:t>6,186.1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</w:t>
      </w:r>
      <w:r w:rsidRPr="008A7B7D">
        <w:rPr>
          <w:rFonts w:ascii="Sylfaen" w:hAnsi="Sylfaen" w:cs="Sylfaen"/>
          <w:lang w:val="ka-GE"/>
        </w:rPr>
        <w:t xml:space="preserve">- </w:t>
      </w:r>
      <w:r w:rsidR="00993049">
        <w:rPr>
          <w:rFonts w:ascii="Sylfaen" w:hAnsi="Sylfaen" w:cs="Sylfaen"/>
          <w:lang w:val="ka-GE"/>
        </w:rPr>
        <w:t>6,160.4</w:t>
      </w:r>
      <w:r w:rsidRPr="008A7B7D">
        <w:rPr>
          <w:rFonts w:ascii="Sylfaen" w:hAnsi="Sylfaen" w:cs="Sylfaen"/>
          <w:lang w:val="ka-GE"/>
        </w:rPr>
        <w:t xml:space="preserve"> მლნ ლარი და </w:t>
      </w:r>
      <w:r w:rsidRPr="008A7B7D">
        <w:rPr>
          <w:rFonts w:ascii="Sylfaen" w:hAnsi="Sylfaen"/>
          <w:szCs w:val="21"/>
          <w:lang w:val="ka-GE"/>
        </w:rPr>
        <w:t xml:space="preserve">საბიუჯეტო ორგანიზაციების სესხის სახით არსებულ ნაშთი - </w:t>
      </w:r>
      <w:r w:rsidR="00993049">
        <w:rPr>
          <w:rFonts w:ascii="Sylfaen" w:hAnsi="Sylfaen"/>
          <w:szCs w:val="21"/>
          <w:lang w:val="ka-GE"/>
        </w:rPr>
        <w:t>40.8</w:t>
      </w:r>
      <w:r w:rsidRPr="008A7B7D">
        <w:rPr>
          <w:rFonts w:ascii="Sylfaen" w:hAnsi="Sylfaen"/>
          <w:szCs w:val="21"/>
          <w:lang w:val="ka-GE"/>
        </w:rPr>
        <w:t xml:space="preserve"> მლნ ლარი</w:t>
      </w:r>
      <w:r w:rsidRPr="008A7B7D">
        <w:rPr>
          <w:rFonts w:ascii="Sylfaen" w:hAnsi="Sylfaen" w:cs="Sylfaen"/>
          <w:lang w:val="ka-GE"/>
        </w:rPr>
        <w:t>), აქედან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993049">
        <w:rPr>
          <w:rFonts w:ascii="Sylfaen" w:hAnsi="Sylfaen" w:cs="Sylfaen"/>
          <w:shd w:val="clear" w:color="auto" w:fill="FFFFFF"/>
          <w:lang w:val="ka-GE"/>
        </w:rPr>
        <w:t>5,792.5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993049">
        <w:rPr>
          <w:rFonts w:ascii="Sylfaen" w:hAnsi="Sylfaen" w:cs="Sylfaen"/>
          <w:shd w:val="clear" w:color="auto" w:fill="FFFFFF"/>
          <w:lang w:val="ka-GE"/>
        </w:rPr>
        <w:t>352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993049">
        <w:rPr>
          <w:rFonts w:ascii="Sylfaen" w:hAnsi="Sylfaen"/>
          <w:szCs w:val="21"/>
          <w:shd w:val="clear" w:color="auto" w:fill="FFFFFF"/>
          <w:lang w:val="ka-GE"/>
        </w:rPr>
        <w:t>40</w:t>
      </w:r>
      <w:r w:rsidR="00C67377">
        <w:rPr>
          <w:rFonts w:ascii="Sylfaen" w:hAnsi="Sylfaen"/>
          <w:szCs w:val="21"/>
          <w:shd w:val="clear" w:color="auto" w:fill="FFFFFF"/>
        </w:rPr>
        <w:t>.</w:t>
      </w:r>
      <w:r w:rsidR="00993049">
        <w:rPr>
          <w:rFonts w:ascii="Sylfaen" w:hAnsi="Sylfaen"/>
          <w:szCs w:val="21"/>
          <w:shd w:val="clear" w:color="auto" w:fill="FFFFFF"/>
          <w:lang w:val="ka-GE"/>
        </w:rPr>
        <w:t>8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14:paraId="62C9BE69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709ABBAD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7B1ECD83" w14:textId="77777777" w:rsidR="00396821" w:rsidRDefault="00247D3D" w:rsidP="00B232D4">
      <w:pPr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br w:type="page"/>
      </w:r>
    </w:p>
    <w:p w14:paraId="67BF098E" w14:textId="77777777" w:rsidR="00B232D4" w:rsidRDefault="00B232D4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26DE8D3D" w14:textId="77777777" w:rsidR="00B232D4" w:rsidRDefault="00B232D4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42DD3247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14:paraId="3ADEB4D2" w14:textId="77777777" w:rsidR="00396821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2020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99304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31 დეკემბრის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0CCBACC4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7CAF91D3" w14:textId="77777777" w:rsidR="00396821" w:rsidRPr="00B2672E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767A3573" w14:textId="77777777" w:rsidR="00396821" w:rsidRPr="00BB79CB" w:rsidRDefault="00396821" w:rsidP="00396821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078"/>
      </w:tblGrid>
      <w:tr w:rsidR="0077274B" w:rsidRPr="00480AB4" w14:paraId="21360220" w14:textId="77777777" w:rsidTr="008E6116">
        <w:trPr>
          <w:trHeight w:val="343"/>
          <w:jc w:val="center"/>
        </w:trPr>
        <w:tc>
          <w:tcPr>
            <w:tcW w:w="3539" w:type="pct"/>
            <w:vAlign w:val="center"/>
            <w:hideMark/>
          </w:tcPr>
          <w:p w14:paraId="496168E6" w14:textId="77777777" w:rsidR="0077274B" w:rsidRPr="0077274B" w:rsidRDefault="0077274B" w:rsidP="007727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14:paraId="39021D97" w14:textId="77777777" w:rsidR="0077274B" w:rsidRPr="005134D5" w:rsidRDefault="005134D5" w:rsidP="005134D5">
            <w:pPr>
              <w:jc w:val="right"/>
              <w:rPr>
                <w:b/>
                <w:sz w:val="24"/>
                <w:szCs w:val="24"/>
              </w:rPr>
            </w:pPr>
            <w:r w:rsidRPr="005134D5">
              <w:rPr>
                <w:b/>
                <w:sz w:val="24"/>
                <w:szCs w:val="24"/>
              </w:rPr>
              <w:t>6 201 177</w:t>
            </w:r>
            <w:r w:rsidR="0077274B" w:rsidRPr="005134D5">
              <w:rPr>
                <w:b/>
                <w:sz w:val="24"/>
                <w:szCs w:val="24"/>
              </w:rPr>
              <w:t>,</w:t>
            </w:r>
            <w:r w:rsidRPr="005134D5">
              <w:rPr>
                <w:b/>
                <w:sz w:val="24"/>
                <w:szCs w:val="24"/>
              </w:rPr>
              <w:t>4</w:t>
            </w:r>
          </w:p>
        </w:tc>
      </w:tr>
      <w:tr w:rsidR="0077274B" w:rsidRPr="00480AB4" w14:paraId="4D91C9D1" w14:textId="77777777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2FFC380E" w14:textId="77777777" w:rsidR="0077274B" w:rsidRPr="0077274B" w:rsidRDefault="0077274B" w:rsidP="007727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  <w:hideMark/>
          </w:tcPr>
          <w:p w14:paraId="79FF2DED" w14:textId="77777777" w:rsidR="0077274B" w:rsidRPr="0077274B" w:rsidRDefault="0077274B" w:rsidP="005134D5">
            <w:pPr>
              <w:jc w:val="right"/>
              <w:rPr>
                <w:b/>
              </w:rPr>
            </w:pPr>
            <w:r w:rsidRPr="0077274B">
              <w:rPr>
                <w:b/>
              </w:rPr>
              <w:t xml:space="preserve">5 </w:t>
            </w:r>
            <w:r w:rsidR="005134D5" w:rsidRPr="005134D5">
              <w:rPr>
                <w:b/>
              </w:rPr>
              <w:t>807</w:t>
            </w:r>
            <w:r w:rsidRPr="0077274B">
              <w:rPr>
                <w:b/>
              </w:rPr>
              <w:t xml:space="preserve"> </w:t>
            </w:r>
            <w:r w:rsidR="005134D5" w:rsidRPr="005134D5">
              <w:rPr>
                <w:b/>
              </w:rPr>
              <w:t>507</w:t>
            </w:r>
            <w:r w:rsidRPr="0077274B">
              <w:rPr>
                <w:b/>
              </w:rPr>
              <w:t>,0</w:t>
            </w:r>
          </w:p>
        </w:tc>
      </w:tr>
      <w:tr w:rsidR="0077274B" w:rsidRPr="00480AB4" w14:paraId="6626AB6C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14:paraId="6CF84657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</w:p>
        </w:tc>
        <w:tc>
          <w:tcPr>
            <w:tcW w:w="1461" w:type="pct"/>
          </w:tcPr>
          <w:p w14:paraId="0BAF7BA2" w14:textId="77777777" w:rsidR="0077274B" w:rsidRPr="005A0685" w:rsidRDefault="005134D5" w:rsidP="0077274B">
            <w:pPr>
              <w:jc w:val="right"/>
            </w:pPr>
            <w:r w:rsidRPr="005134D5">
              <w:t xml:space="preserve">120 </w:t>
            </w:r>
            <w:r w:rsidR="0077274B" w:rsidRPr="005A0685">
              <w:t>000,0</w:t>
            </w:r>
          </w:p>
        </w:tc>
      </w:tr>
      <w:tr w:rsidR="0077274B" w:rsidRPr="00480AB4" w14:paraId="65CCEFFE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748B4990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hideMark/>
          </w:tcPr>
          <w:p w14:paraId="1E9218C5" w14:textId="77777777" w:rsidR="0077274B" w:rsidRPr="005A0685" w:rsidRDefault="0077274B" w:rsidP="005134D5">
            <w:pPr>
              <w:jc w:val="right"/>
            </w:pPr>
            <w:r w:rsidRPr="005A0685">
              <w:t>6</w:t>
            </w:r>
            <w:r w:rsidR="005134D5" w:rsidRPr="005134D5">
              <w:t>6</w:t>
            </w:r>
            <w:r w:rsidRPr="005A0685">
              <w:t>0 000,0</w:t>
            </w:r>
          </w:p>
        </w:tc>
      </w:tr>
      <w:tr w:rsidR="0077274B" w:rsidRPr="00480AB4" w14:paraId="716325FA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021FC67C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hideMark/>
          </w:tcPr>
          <w:p w14:paraId="180E230B" w14:textId="77777777" w:rsidR="0077274B" w:rsidRPr="005A0685" w:rsidRDefault="0077274B" w:rsidP="005134D5">
            <w:pPr>
              <w:jc w:val="right"/>
            </w:pPr>
            <w:r w:rsidRPr="005A0685">
              <w:t xml:space="preserve">1 </w:t>
            </w:r>
            <w:r w:rsidR="005134D5" w:rsidRPr="005134D5">
              <w:t>530</w:t>
            </w:r>
            <w:r w:rsidRPr="005A0685">
              <w:t xml:space="preserve"> 000,0</w:t>
            </w:r>
          </w:p>
        </w:tc>
      </w:tr>
      <w:tr w:rsidR="0077274B" w:rsidRPr="00480AB4" w14:paraId="22B4FC98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03B4D585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14:paraId="4B6FFFCB" w14:textId="77777777" w:rsidR="0077274B" w:rsidRPr="005A0685" w:rsidRDefault="0077274B" w:rsidP="005134D5">
            <w:pPr>
              <w:jc w:val="right"/>
            </w:pPr>
            <w:r w:rsidRPr="005A0685">
              <w:t xml:space="preserve">2 </w:t>
            </w:r>
            <w:r w:rsidR="005134D5" w:rsidRPr="005134D5">
              <w:t>260</w:t>
            </w:r>
            <w:r w:rsidRPr="005A0685">
              <w:t xml:space="preserve"> </w:t>
            </w:r>
            <w:r w:rsidR="005134D5" w:rsidRPr="005134D5">
              <w:t>689</w:t>
            </w:r>
            <w:r w:rsidRPr="005A0685">
              <w:t>,0</w:t>
            </w:r>
          </w:p>
        </w:tc>
      </w:tr>
      <w:tr w:rsidR="0077274B" w:rsidRPr="00480AB4" w14:paraId="05A49CAC" w14:textId="77777777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144B11A3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14:paraId="1EF05975" w14:textId="77777777" w:rsidR="0077274B" w:rsidRPr="005A0685" w:rsidRDefault="0077274B" w:rsidP="005134D5">
            <w:pPr>
              <w:jc w:val="right"/>
            </w:pPr>
            <w:r w:rsidRPr="005A0685">
              <w:t xml:space="preserve">1 </w:t>
            </w:r>
            <w:r w:rsidR="005134D5" w:rsidRPr="005134D5">
              <w:t>236</w:t>
            </w:r>
            <w:r w:rsidRPr="005A0685">
              <w:t xml:space="preserve"> 818,0</w:t>
            </w:r>
          </w:p>
        </w:tc>
      </w:tr>
      <w:tr w:rsidR="0077274B" w:rsidRPr="00480AB4" w14:paraId="490A0822" w14:textId="77777777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171B2AAF" w14:textId="77777777" w:rsidR="0077274B" w:rsidRPr="0077274B" w:rsidRDefault="0077274B" w:rsidP="007727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</w:tcPr>
          <w:p w14:paraId="084137E5" w14:textId="77777777" w:rsidR="0077274B" w:rsidRPr="0077274B" w:rsidRDefault="005134D5" w:rsidP="0077274B">
            <w:pPr>
              <w:jc w:val="right"/>
              <w:rPr>
                <w:b/>
              </w:rPr>
            </w:pPr>
            <w:r w:rsidRPr="005134D5">
              <w:rPr>
                <w:b/>
              </w:rPr>
              <w:t>352</w:t>
            </w:r>
            <w:r w:rsidR="0077274B" w:rsidRPr="0077274B">
              <w:rPr>
                <w:b/>
              </w:rPr>
              <w:t xml:space="preserve"> 846,0</w:t>
            </w:r>
          </w:p>
        </w:tc>
      </w:tr>
      <w:tr w:rsidR="0077274B" w:rsidRPr="00480AB4" w14:paraId="45BD38DA" w14:textId="77777777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20E6E62E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hideMark/>
          </w:tcPr>
          <w:p w14:paraId="551946C8" w14:textId="77777777" w:rsidR="0077274B" w:rsidRPr="005A0685" w:rsidRDefault="0077274B" w:rsidP="0077274B">
            <w:pPr>
              <w:jc w:val="right"/>
            </w:pPr>
            <w:r w:rsidRPr="005A0685">
              <w:t>200 846,0</w:t>
            </w:r>
          </w:p>
        </w:tc>
      </w:tr>
      <w:tr w:rsidR="0077274B" w:rsidRPr="00480AB4" w14:paraId="5987C166" w14:textId="77777777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073AE701" w14:textId="77777777"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hideMark/>
          </w:tcPr>
          <w:p w14:paraId="79BCC2BD" w14:textId="77777777" w:rsidR="0077274B" w:rsidRPr="005A0685" w:rsidRDefault="0077274B" w:rsidP="005134D5">
            <w:pPr>
              <w:jc w:val="right"/>
            </w:pPr>
            <w:r w:rsidRPr="005A0685">
              <w:t>1</w:t>
            </w:r>
            <w:r w:rsidR="005134D5" w:rsidRPr="005134D5">
              <w:t>52</w:t>
            </w:r>
            <w:r w:rsidRPr="005A0685">
              <w:t xml:space="preserve"> 000,0</w:t>
            </w:r>
          </w:p>
        </w:tc>
      </w:tr>
      <w:tr w:rsidR="0077274B" w:rsidRPr="00B34FAA" w14:paraId="47F8C8AD" w14:textId="77777777" w:rsidTr="008E6116">
        <w:trPr>
          <w:trHeight w:val="288"/>
          <w:jc w:val="center"/>
        </w:trPr>
        <w:tc>
          <w:tcPr>
            <w:tcW w:w="3539" w:type="pct"/>
            <w:vAlign w:val="center"/>
          </w:tcPr>
          <w:p w14:paraId="48133FE5" w14:textId="77777777" w:rsidR="0077274B" w:rsidRPr="0077274B" w:rsidRDefault="0077274B" w:rsidP="0077274B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 ორგანიზაციების სესხის სახით არსებულ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ნაშ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</w:tcPr>
          <w:p w14:paraId="258705DD" w14:textId="77777777" w:rsidR="0077274B" w:rsidRPr="005134D5" w:rsidRDefault="005134D5" w:rsidP="005134D5">
            <w:pPr>
              <w:jc w:val="right"/>
              <w:rPr>
                <w:b/>
              </w:rPr>
            </w:pPr>
            <w:r w:rsidRPr="005134D5">
              <w:rPr>
                <w:b/>
              </w:rPr>
              <w:t>40</w:t>
            </w:r>
            <w:r w:rsidR="0077274B" w:rsidRPr="0077274B">
              <w:rPr>
                <w:b/>
              </w:rPr>
              <w:t xml:space="preserve"> </w:t>
            </w:r>
            <w:r w:rsidRPr="005134D5">
              <w:rPr>
                <w:b/>
              </w:rPr>
              <w:t>824</w:t>
            </w:r>
            <w:r w:rsidR="0077274B" w:rsidRPr="0077274B">
              <w:rPr>
                <w:b/>
              </w:rPr>
              <w:t>,</w:t>
            </w:r>
            <w:r w:rsidRPr="005134D5">
              <w:rPr>
                <w:b/>
              </w:rPr>
              <w:t>4</w:t>
            </w:r>
          </w:p>
        </w:tc>
      </w:tr>
    </w:tbl>
    <w:p w14:paraId="2E376313" w14:textId="77777777" w:rsidR="00396821" w:rsidRPr="00C367E2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14:paraId="1DE09BA8" w14:textId="77777777"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CC04802" w14:textId="77777777" w:rsidR="00396821" w:rsidRPr="0077274B" w:rsidRDefault="00B4541C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>2020</w:t>
      </w:r>
      <w:r w:rsidR="00396821" w:rsidRPr="0077274B">
        <w:rPr>
          <w:rFonts w:ascii="Sylfaen" w:hAnsi="Sylfaen" w:cs="Sylfaen"/>
          <w:lang w:val="ka-GE"/>
        </w:rPr>
        <w:t xml:space="preserve"> წლის </w:t>
      </w:r>
      <w:r w:rsidR="006B56B0" w:rsidRPr="0077274B">
        <w:rPr>
          <w:rFonts w:ascii="Sylfaen" w:hAnsi="Sylfaen" w:cs="Sylfaen"/>
          <w:szCs w:val="18"/>
          <w:shd w:val="clear" w:color="auto" w:fill="FFFFFF"/>
          <w:lang w:val="ka-GE"/>
        </w:rPr>
        <w:t>3</w:t>
      </w:r>
      <w:r w:rsidR="005134D5">
        <w:rPr>
          <w:rFonts w:ascii="Sylfaen" w:hAnsi="Sylfaen" w:cs="Sylfaen"/>
          <w:szCs w:val="18"/>
          <w:shd w:val="clear" w:color="auto" w:fill="FFFFFF"/>
          <w:lang w:val="ka-GE"/>
        </w:rPr>
        <w:t>1</w:t>
      </w:r>
      <w:r w:rsidR="00396821" w:rsidRPr="0077274B">
        <w:rPr>
          <w:rFonts w:ascii="Sylfaen" w:hAnsi="Sylfaen" w:cs="Sylfaen"/>
          <w:szCs w:val="18"/>
          <w:shd w:val="clear" w:color="auto" w:fill="FFFFFF"/>
        </w:rPr>
        <w:t xml:space="preserve"> </w:t>
      </w:r>
      <w:r w:rsidR="005134D5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5043A4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5134D5" w:rsidRPr="005134D5">
        <w:rPr>
          <w:rFonts w:ascii="Sylfaen" w:hAnsi="Sylfaen" w:cs="Sylfaen"/>
          <w:lang w:val="ka-GE"/>
        </w:rPr>
        <w:t>3</w:t>
      </w:r>
      <w:r w:rsidR="005134D5">
        <w:rPr>
          <w:rFonts w:ascii="Sylfaen" w:hAnsi="Sylfaen" w:cs="Sylfaen"/>
          <w:lang w:val="ka-GE"/>
        </w:rPr>
        <w:t>,</w:t>
      </w:r>
      <w:r w:rsidR="005134D5" w:rsidRPr="005134D5">
        <w:rPr>
          <w:rFonts w:ascii="Sylfaen" w:hAnsi="Sylfaen" w:cs="Sylfaen"/>
          <w:lang w:val="ka-GE"/>
        </w:rPr>
        <w:t>553</w:t>
      </w:r>
      <w:r w:rsidR="005134D5">
        <w:rPr>
          <w:rFonts w:ascii="Sylfaen" w:hAnsi="Sylfaen" w:cs="Sylfaen"/>
          <w:lang w:val="ka-GE"/>
        </w:rPr>
        <w:t>,</w:t>
      </w:r>
      <w:r w:rsidR="005134D5" w:rsidRPr="005134D5">
        <w:rPr>
          <w:rFonts w:ascii="Sylfaen" w:hAnsi="Sylfaen" w:cs="Sylfaen"/>
          <w:lang w:val="ka-GE"/>
        </w:rPr>
        <w:t>161</w:t>
      </w:r>
      <w:r w:rsidR="005134D5">
        <w:rPr>
          <w:rFonts w:ascii="Sylfaen" w:hAnsi="Sylfaen" w:cs="Sylfaen"/>
          <w:lang w:val="ka-GE"/>
        </w:rPr>
        <w:t xml:space="preserve">.3 </w:t>
      </w:r>
      <w:r w:rsidR="00396821" w:rsidRPr="0077274B">
        <w:rPr>
          <w:rFonts w:ascii="Sylfaen" w:hAnsi="Sylfaen" w:cs="Sylfaen"/>
          <w:lang w:val="ka-GE"/>
        </w:rPr>
        <w:t>ათასი ლარი, ძირითადი თანხის დაფარვამ კი</w:t>
      </w:r>
      <w:r w:rsidR="00396821" w:rsidRPr="0077274B">
        <w:rPr>
          <w:rFonts w:ascii="Sylfaen" w:hAnsi="Sylfaen" w:cs="Sylfaen"/>
        </w:rPr>
        <w:t xml:space="preserve"> </w:t>
      </w:r>
      <w:r w:rsidR="005134D5" w:rsidRPr="005134D5">
        <w:rPr>
          <w:rFonts w:ascii="Sylfaen" w:hAnsi="Sylfaen" w:cs="Sylfaen"/>
          <w:lang w:val="ka-GE"/>
        </w:rPr>
        <w:t>1</w:t>
      </w:r>
      <w:r w:rsidR="005134D5">
        <w:rPr>
          <w:rFonts w:ascii="Sylfaen" w:hAnsi="Sylfaen" w:cs="Sylfaen"/>
          <w:lang w:val="ka-GE"/>
        </w:rPr>
        <w:t>,</w:t>
      </w:r>
      <w:r w:rsidR="005134D5" w:rsidRPr="005134D5">
        <w:rPr>
          <w:rFonts w:ascii="Sylfaen" w:hAnsi="Sylfaen" w:cs="Sylfaen"/>
          <w:lang w:val="ka-GE"/>
        </w:rPr>
        <w:t>527</w:t>
      </w:r>
      <w:r w:rsidR="005134D5">
        <w:rPr>
          <w:rFonts w:ascii="Sylfaen" w:hAnsi="Sylfaen" w:cs="Sylfaen"/>
          <w:lang w:val="ka-GE"/>
        </w:rPr>
        <w:t>,</w:t>
      </w:r>
      <w:r w:rsidR="005134D5" w:rsidRPr="005134D5">
        <w:rPr>
          <w:rFonts w:ascii="Sylfaen" w:hAnsi="Sylfaen" w:cs="Sylfaen"/>
          <w:lang w:val="ka-GE"/>
        </w:rPr>
        <w:t>089</w:t>
      </w:r>
      <w:r w:rsidR="005134D5">
        <w:rPr>
          <w:rFonts w:ascii="Sylfaen" w:hAnsi="Sylfaen" w:cs="Sylfaen"/>
          <w:lang w:val="ka-GE"/>
        </w:rPr>
        <w:t>.8</w:t>
      </w:r>
      <w:r w:rsidR="0077274B" w:rsidRPr="0077274B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77274B">
        <w:rPr>
          <w:rFonts w:ascii="Sylfaen" w:hAnsi="Sylfaen" w:cs="Sylfaen"/>
        </w:rPr>
        <w:t>,</w:t>
      </w:r>
      <w:r w:rsidR="00396821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ზრდა</w:t>
      </w:r>
      <w:r w:rsidR="00396821" w:rsidRPr="0077274B">
        <w:rPr>
          <w:rFonts w:ascii="Sylfaen" w:hAnsi="Sylfaen" w:cs="Sylfaen"/>
          <w:lang w:val="ka-GE"/>
        </w:rPr>
        <w:t xml:space="preserve"> </w:t>
      </w:r>
      <w:r w:rsidR="005134D5" w:rsidRPr="005134D5">
        <w:rPr>
          <w:rFonts w:ascii="Sylfaen" w:hAnsi="Sylfaen" w:cs="Sylfaen"/>
          <w:lang w:val="ka-GE"/>
        </w:rPr>
        <w:t>2</w:t>
      </w:r>
      <w:r w:rsidR="005134D5">
        <w:rPr>
          <w:rFonts w:ascii="Sylfaen" w:hAnsi="Sylfaen" w:cs="Sylfaen"/>
          <w:lang w:val="ka-GE"/>
        </w:rPr>
        <w:t>,</w:t>
      </w:r>
      <w:r w:rsidR="005134D5" w:rsidRPr="005134D5">
        <w:rPr>
          <w:rFonts w:ascii="Sylfaen" w:hAnsi="Sylfaen" w:cs="Sylfaen"/>
          <w:lang w:val="ka-GE"/>
        </w:rPr>
        <w:t>026</w:t>
      </w:r>
      <w:r w:rsidR="005134D5">
        <w:rPr>
          <w:rFonts w:ascii="Sylfaen" w:hAnsi="Sylfaen" w:cs="Sylfaen"/>
          <w:lang w:val="ka-GE"/>
        </w:rPr>
        <w:t>,</w:t>
      </w:r>
      <w:r w:rsidR="005134D5" w:rsidRPr="005134D5">
        <w:rPr>
          <w:rFonts w:ascii="Sylfaen" w:hAnsi="Sylfaen" w:cs="Sylfaen"/>
          <w:lang w:val="ka-GE"/>
        </w:rPr>
        <w:t>071</w:t>
      </w:r>
      <w:r w:rsidR="005134D5">
        <w:rPr>
          <w:rFonts w:ascii="Sylfaen" w:hAnsi="Sylfaen" w:cs="Sylfaen"/>
          <w:lang w:val="ka-GE"/>
        </w:rPr>
        <w:t>.</w:t>
      </w:r>
      <w:r w:rsidR="005134D5" w:rsidRPr="005134D5">
        <w:rPr>
          <w:rFonts w:ascii="Sylfaen" w:hAnsi="Sylfaen" w:cs="Sylfaen"/>
          <w:lang w:val="ka-GE"/>
        </w:rPr>
        <w:t>5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ლარით განისაზღვრა.</w:t>
      </w:r>
    </w:p>
    <w:p w14:paraId="0797559D" w14:textId="77777777" w:rsidR="000F7356" w:rsidRPr="0077274B" w:rsidRDefault="000F7356" w:rsidP="00E32CB6">
      <w:pPr>
        <w:tabs>
          <w:tab w:val="left" w:pos="720"/>
        </w:tabs>
        <w:spacing w:after="0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საქართველოს 2020 წლის სახელმწიფო ბიუჯეტის კანონის ცვლილების მე-8 თავის 23-ე მუხლის მე-6 პუნქტის შესაბამისად, მეორე </w:t>
      </w:r>
      <w:r w:rsidR="0077274B" w:rsidRPr="0077274B">
        <w:rPr>
          <w:rFonts w:ascii="Sylfaen" w:hAnsi="Sylfaen" w:cs="Sylfaen"/>
          <w:lang w:val="ka-GE"/>
        </w:rPr>
        <w:t xml:space="preserve">და მესამე </w:t>
      </w:r>
      <w:r w:rsidRPr="0077274B">
        <w:rPr>
          <w:rFonts w:ascii="Sylfaen" w:hAnsi="Sylfaen" w:cs="Sylfaen"/>
          <w:lang w:val="ka-GE"/>
        </w:rPr>
        <w:t>კვარტალში განხორციელდა ეკონომიკის გრძელვადიანი რესურსით უზრუნველყოფის ხელშეწყობის მექანიზმის ფარგლებში დამატებით 600</w:t>
      </w:r>
      <w:r w:rsidR="0077274B" w:rsidRPr="0077274B">
        <w:rPr>
          <w:rFonts w:ascii="Sylfaen" w:hAnsi="Sylfaen" w:cs="Sylfaen"/>
          <w:lang w:val="ka-GE"/>
        </w:rPr>
        <w:t>,000.0</w:t>
      </w:r>
      <w:r w:rsidRPr="0077274B">
        <w:rPr>
          <w:rFonts w:ascii="Sylfaen" w:hAnsi="Sylfaen" w:cs="Sylfaen"/>
          <w:lang w:val="ka-GE"/>
        </w:rPr>
        <w:t xml:space="preserve"> </w:t>
      </w:r>
      <w:r w:rsidR="0077274B" w:rsidRPr="0077274B">
        <w:rPr>
          <w:rFonts w:ascii="Sylfaen" w:hAnsi="Sylfaen" w:cs="Sylfaen"/>
          <w:lang w:val="ka-GE"/>
        </w:rPr>
        <w:t>ათასი</w:t>
      </w:r>
      <w:r w:rsidRPr="0077274B">
        <w:rPr>
          <w:rFonts w:ascii="Sylfaen" w:hAnsi="Sylfaen" w:cs="Sylfaen"/>
          <w:lang w:val="ka-GE"/>
        </w:rPr>
        <w:t xml:space="preserve"> ლარის ემისიიდან </w:t>
      </w:r>
      <w:r w:rsidR="0077274B" w:rsidRPr="0077274B">
        <w:rPr>
          <w:rFonts w:ascii="Sylfaen" w:hAnsi="Sylfaen" w:cs="Sylfaen"/>
          <w:lang w:val="ka-GE"/>
        </w:rPr>
        <w:t>594,298.0</w:t>
      </w:r>
      <w:r w:rsidRPr="0077274B">
        <w:rPr>
          <w:rFonts w:ascii="Sylfaen" w:hAnsi="Sylfaen" w:cs="Sylfaen"/>
          <w:lang w:val="ka-GE"/>
        </w:rPr>
        <w:t xml:space="preserve"> </w:t>
      </w:r>
      <w:r w:rsidR="0010427D">
        <w:rPr>
          <w:rFonts w:ascii="Sylfaen" w:hAnsi="Sylfaen" w:cs="Sylfaen"/>
          <w:lang w:val="ru-RU"/>
        </w:rPr>
        <w:t>ათასი</w:t>
      </w:r>
      <w:r w:rsidR="0010427D" w:rsidRPr="0077274B">
        <w:rPr>
          <w:rFonts w:ascii="Sylfaen" w:hAnsi="Sylfaen" w:cs="Sylfaen"/>
          <w:lang w:val="ka-GE"/>
        </w:rPr>
        <w:t xml:space="preserve"> </w:t>
      </w:r>
      <w:r w:rsidRPr="0077274B">
        <w:rPr>
          <w:rFonts w:ascii="Sylfaen" w:hAnsi="Sylfaen" w:cs="Sylfaen"/>
          <w:lang w:val="ka-GE"/>
        </w:rPr>
        <w:t>ლარის ემისია 10 წლის ვადის მქონე სახაზინო ობლიგაციებად. ამ მიზნით გამოშვებული ფასიანი ქაღალდებიდან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(შეიძინ</w:t>
      </w:r>
      <w:r w:rsidR="005A5072" w:rsidRPr="0077274B">
        <w:rPr>
          <w:rFonts w:ascii="Sylfaen" w:hAnsi="Sylfaen" w:cs="Sylfaen"/>
          <w:lang w:val="ka-GE"/>
        </w:rPr>
        <w:t xml:space="preserve">ა </w:t>
      </w:r>
      <w:r w:rsidRPr="0077274B">
        <w:rPr>
          <w:rFonts w:ascii="Sylfaen" w:hAnsi="Sylfaen" w:cs="Sylfaen"/>
          <w:lang w:val="ka-GE"/>
        </w:rPr>
        <w:t xml:space="preserve">სადეპოზიტო სერტიფიკატები) საქართველოს მთავრობის 2020 წლის 22 მაისის N845 განკარგულების შესაბამისად. </w:t>
      </w:r>
    </w:p>
    <w:p w14:paraId="53BC1631" w14:textId="77777777" w:rsidR="00F80CC1" w:rsidRPr="0077274B" w:rsidRDefault="00F80CC1" w:rsidP="00F80CC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2020 წლის 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 w:rsidR="00951B71">
        <w:rPr>
          <w:rFonts w:ascii="Sylfaen" w:hAnsi="Sylfaen" w:cs="Sylfaen"/>
          <w:lang w:val="ka-GE"/>
        </w:rPr>
        <w:t xml:space="preserve">467,168.1 </w:t>
      </w:r>
      <w:r w:rsidRPr="0077274B">
        <w:rPr>
          <w:rFonts w:ascii="Sylfaen" w:hAnsi="Sylfaen" w:cs="Sylfaen"/>
          <w:lang w:val="ka-GE"/>
        </w:rPr>
        <w:t>ათასი ლარი. მათ შორის:</w:t>
      </w:r>
    </w:p>
    <w:p w14:paraId="71AC2B71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„ობლიგაციები ღია ბაზრისთვის“  ძირითადი თანხის დაფარვა   - </w:t>
      </w:r>
      <w:r w:rsidR="00951B71">
        <w:rPr>
          <w:rFonts w:ascii="Sylfaen" w:hAnsi="Sylfaen" w:cs="Sylfaen"/>
          <w:lang w:val="ka-GE"/>
        </w:rPr>
        <w:t>40</w:t>
      </w:r>
      <w:r w:rsidRPr="0077274B">
        <w:rPr>
          <w:rFonts w:ascii="Sylfaen" w:hAnsi="Sylfaen" w:cs="Sylfaen"/>
          <w:lang w:val="ka-GE"/>
        </w:rPr>
        <w:t>,000.0 ათასი ლარი;</w:t>
      </w:r>
    </w:p>
    <w:p w14:paraId="750B7F7D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„ობლიგაციები ღია ბაზრისთვის“ მომსახურება - </w:t>
      </w:r>
      <w:r w:rsidR="00951B71">
        <w:rPr>
          <w:rFonts w:ascii="Sylfaen" w:hAnsi="Sylfaen" w:cs="Sylfaen"/>
          <w:lang w:val="ka-GE"/>
        </w:rPr>
        <w:t>14,385.0</w:t>
      </w:r>
      <w:r w:rsidRPr="0077274B">
        <w:rPr>
          <w:rFonts w:ascii="Sylfaen" w:hAnsi="Sylfaen" w:cs="Sylfaen"/>
          <w:lang w:val="ka-GE"/>
        </w:rPr>
        <w:t xml:space="preserve"> ათასი ლარი;</w:t>
      </w:r>
    </w:p>
    <w:p w14:paraId="5526DEE9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„ობლიგაცია სებ-ისთვის“ მომსახურება - </w:t>
      </w:r>
      <w:r w:rsidR="00951B71">
        <w:rPr>
          <w:rFonts w:ascii="Sylfaen" w:hAnsi="Sylfaen" w:cs="Sylfaen"/>
          <w:lang w:val="ka-GE"/>
        </w:rPr>
        <w:t xml:space="preserve">17,244.6 </w:t>
      </w:r>
      <w:r w:rsidRPr="0077274B">
        <w:rPr>
          <w:rFonts w:ascii="Sylfaen" w:hAnsi="Sylfaen" w:cs="Sylfaen"/>
          <w:lang w:val="ka-GE"/>
        </w:rPr>
        <w:t>ათასი ლარი;</w:t>
      </w:r>
    </w:p>
    <w:p w14:paraId="4F427E44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სახაზინო ვალდებულებების მომსახურება  -  </w:t>
      </w:r>
      <w:r w:rsidR="00951B71">
        <w:rPr>
          <w:rFonts w:ascii="Sylfaen" w:hAnsi="Sylfaen" w:cs="Sylfaen"/>
          <w:lang w:val="ka-GE"/>
        </w:rPr>
        <w:t xml:space="preserve">57,200.5 </w:t>
      </w:r>
      <w:r w:rsidRPr="0077274B">
        <w:rPr>
          <w:rFonts w:ascii="Sylfaen" w:hAnsi="Sylfaen" w:cs="Sylfaen"/>
          <w:lang w:val="ka-GE"/>
        </w:rPr>
        <w:t>ათასი  ლარი;</w:t>
      </w:r>
    </w:p>
    <w:p w14:paraId="44F2C694" w14:textId="77777777"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სახაზინო ობლიგაციების მომსახურება  - </w:t>
      </w:r>
      <w:r w:rsidR="00951B71">
        <w:rPr>
          <w:rFonts w:ascii="Sylfaen" w:hAnsi="Sylfaen" w:cs="Sylfaen"/>
          <w:lang w:val="ka-GE"/>
        </w:rPr>
        <w:t xml:space="preserve">338,338.0 </w:t>
      </w:r>
      <w:r w:rsidRPr="0077274B">
        <w:rPr>
          <w:rFonts w:ascii="Sylfaen" w:hAnsi="Sylfaen" w:cs="Sylfaen"/>
          <w:lang w:val="ka-GE"/>
        </w:rPr>
        <w:t>ათასი  ლარი.</w:t>
      </w:r>
    </w:p>
    <w:p w14:paraId="30B8E75F" w14:textId="77777777" w:rsidR="00F80CC1" w:rsidRDefault="00F80CC1" w:rsidP="00F80CC1">
      <w:pPr>
        <w:pStyle w:val="ListParagraph"/>
        <w:spacing w:before="240" w:after="0" w:line="240" w:lineRule="auto"/>
        <w:jc w:val="both"/>
        <w:rPr>
          <w:rFonts w:ascii="Sylfaen" w:hAnsi="Sylfaen" w:cs="Sylfaen"/>
          <w:lang w:val="ka-GE"/>
        </w:rPr>
      </w:pPr>
    </w:p>
    <w:p w14:paraId="4090E58D" w14:textId="77777777"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11C33B5A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09C8991B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6FA65721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B698147" w14:textId="77777777" w:rsidR="00863F99" w:rsidRDefault="00863F99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79915708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7C4D0BB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34887578" w14:textId="77777777" w:rsidR="00B232D4" w:rsidRDefault="00B232D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720F46C5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F1AED06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703E9F4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C330943" w14:textId="77777777"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CF71E17" w14:textId="77777777" w:rsidR="00F6697A" w:rsidRDefault="0075480C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3430DD">
        <w:rPr>
          <w:rFonts w:ascii="Sylfaen" w:hAnsi="Sylfaen"/>
          <w:b/>
          <w:lang w:val="ka-GE"/>
        </w:rPr>
        <w:lastRenderedPageBreak/>
        <w:t>მთავრობის</w:t>
      </w:r>
      <w:r w:rsidR="000340AB" w:rsidRPr="003430DD">
        <w:rPr>
          <w:rFonts w:ascii="Sylfaen" w:hAnsi="Sylfaen"/>
          <w:b/>
          <w:lang w:val="ka-GE"/>
        </w:rPr>
        <w:t xml:space="preserve"> ვალის </w:t>
      </w:r>
      <w:r w:rsidR="0032795B" w:rsidRPr="003430DD">
        <w:rPr>
          <w:rFonts w:ascii="Sylfaen" w:hAnsi="Sylfaen"/>
          <w:b/>
          <w:lang w:val="ka-GE"/>
        </w:rPr>
        <w:t xml:space="preserve">ნაშთი </w:t>
      </w:r>
      <w:r w:rsidR="00B4541C" w:rsidRPr="003430DD">
        <w:rPr>
          <w:rFonts w:ascii="Sylfaen" w:hAnsi="Sylfaen"/>
          <w:b/>
          <w:lang w:val="ka-GE"/>
        </w:rPr>
        <w:t>2020</w:t>
      </w:r>
      <w:r w:rsidR="001A397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 xml:space="preserve">წლის </w:t>
      </w:r>
      <w:r w:rsidR="00951B71">
        <w:rPr>
          <w:rFonts w:ascii="Sylfaen" w:hAnsi="Sylfaen"/>
          <w:b/>
          <w:lang w:val="ka-GE"/>
        </w:rPr>
        <w:t>31</w:t>
      </w:r>
      <w:r w:rsidR="00FA187E" w:rsidRPr="003430DD">
        <w:rPr>
          <w:rFonts w:ascii="Sylfaen" w:hAnsi="Sylfaen"/>
          <w:b/>
          <w:lang w:val="ka-GE"/>
        </w:rPr>
        <w:t xml:space="preserve"> </w:t>
      </w:r>
      <w:r w:rsidR="00951B71">
        <w:rPr>
          <w:rFonts w:ascii="Sylfaen" w:hAnsi="Sylfaen" w:cs="Sylfaen"/>
          <w:b/>
          <w:szCs w:val="21"/>
          <w:shd w:val="clear" w:color="auto" w:fill="FFFFFF"/>
          <w:lang w:val="ka-GE"/>
        </w:rPr>
        <w:t>დეკემბრის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>მდგომარეობით</w:t>
      </w:r>
    </w:p>
    <w:p w14:paraId="0F4A2E87" w14:textId="77777777" w:rsidR="00BA1426" w:rsidRPr="003430DD" w:rsidRDefault="00BA1426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</w:rPr>
      </w:pPr>
    </w:p>
    <w:p w14:paraId="2BE7A02D" w14:textId="77777777" w:rsidR="00FB7087" w:rsidRPr="00AD59D0" w:rsidRDefault="00AD59D0" w:rsidP="00AD59D0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4150CD"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7520"/>
        <w:gridCol w:w="1900"/>
      </w:tblGrid>
      <w:tr w:rsidR="00EE7EB6" w:rsidRPr="00EE7EB6" w14:paraId="40902E83" w14:textId="77777777" w:rsidTr="00BA1426">
        <w:trPr>
          <w:trHeight w:val="581"/>
        </w:trPr>
        <w:tc>
          <w:tcPr>
            <w:tcW w:w="7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89B7D" w14:textId="77777777" w:rsidR="00EE7EB6" w:rsidRPr="00EE7EB6" w:rsidRDefault="00B04141" w:rsidP="00EE7E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hAnsi="Sylfaen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bookmarkStart w:id="0" w:name="RANGE!C3:D44"/>
            <w:r w:rsidR="00EE7EB6"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  <w:bookmarkEnd w:id="0"/>
          </w:p>
        </w:tc>
        <w:tc>
          <w:tcPr>
            <w:tcW w:w="1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1ECA4" w14:textId="77777777" w:rsidR="00EE7EB6" w:rsidRPr="00EE7EB6" w:rsidRDefault="00EE7EB6" w:rsidP="00BA1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31.12.2020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EE7EB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მდგომარეობით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E7EB6" w:rsidRPr="00EE7EB6" w14:paraId="40CFF08E" w14:textId="77777777" w:rsidTr="00EE7EB6">
        <w:trPr>
          <w:trHeight w:val="57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65536BF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E223173" w14:textId="77777777" w:rsidR="00EE7EB6" w:rsidRPr="00EE7EB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7E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23 467 462,6</w:t>
            </w:r>
          </w:p>
        </w:tc>
      </w:tr>
      <w:tr w:rsidR="00EE7EB6" w:rsidRPr="00EE7EB6" w14:paraId="18F45E67" w14:textId="77777777" w:rsidTr="00EE7EB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044C4105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7C671097" w14:textId="77777777" w:rsidR="00EE7EB6" w:rsidRPr="00EE7EB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1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16 417 126,3</w:t>
            </w:r>
          </w:p>
        </w:tc>
      </w:tr>
      <w:tr w:rsidR="00EE7EB6" w:rsidRPr="00EE7EB6" w14:paraId="55F6FA56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65E78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მსოფლიო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F3259E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6 720 837,0</w:t>
            </w:r>
          </w:p>
        </w:tc>
      </w:tr>
      <w:tr w:rsidR="00EE7EB6" w:rsidRPr="00EE7EB6" w14:paraId="488F828B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E8A35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სოფლის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მეურნეობის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3912B6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117 376,7</w:t>
            </w:r>
          </w:p>
        </w:tc>
      </w:tr>
      <w:tr w:rsidR="00EE7EB6" w:rsidRPr="00EE7EB6" w14:paraId="47E52ABB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FF1B4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სავალუტო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384CBF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693 720,0</w:t>
            </w:r>
          </w:p>
        </w:tc>
      </w:tr>
      <w:tr w:rsidR="00EE7EB6" w:rsidRPr="00EE7EB6" w14:paraId="1F97DFEE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51EA0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რეკონსტრუქციისა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94C00A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652 617,2</w:t>
            </w:r>
          </w:p>
        </w:tc>
      </w:tr>
      <w:tr w:rsidR="00EE7EB6" w:rsidRPr="00EE7EB6" w14:paraId="11491F8A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66BF5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184CD9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4 729 897,7</w:t>
            </w:r>
          </w:p>
        </w:tc>
      </w:tr>
      <w:tr w:rsidR="00EE7EB6" w:rsidRPr="00EE7EB6" w14:paraId="21250E9D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BAA9A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DCBC00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2 425 650,2</w:t>
            </w:r>
          </w:p>
        </w:tc>
      </w:tr>
      <w:tr w:rsidR="00EE7EB6" w:rsidRPr="00EE7EB6" w14:paraId="4742D1F1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E62DF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ევროკავშირი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13C394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535 098,9</w:t>
            </w:r>
          </w:p>
        </w:tc>
      </w:tr>
      <w:tr w:rsidR="00EE7EB6" w:rsidRPr="00EE7EB6" w14:paraId="08C4BA5D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CE7D6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D6DC0C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522 694,7</w:t>
            </w:r>
          </w:p>
        </w:tc>
      </w:tr>
      <w:tr w:rsidR="00EE7EB6" w:rsidRPr="00EE7EB6" w14:paraId="4E534552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E3AF4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ევროსაბჭოს განვითარების ბანკი (CEB)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98932F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10 831,7</w:t>
            </w:r>
          </w:p>
        </w:tc>
      </w:tr>
      <w:tr w:rsidR="00EE7EB6" w:rsidRPr="00EE7EB6" w14:paraId="58BEF567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72D0F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A88339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8 402,3</w:t>
            </w:r>
          </w:p>
        </w:tc>
      </w:tr>
      <w:tr w:rsidR="00EE7EB6" w:rsidRPr="00EE7EB6" w14:paraId="1C5FD4B6" w14:textId="77777777" w:rsidTr="00EE7EB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30D94623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1A647EC4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5 406 471,9</w:t>
            </w:r>
          </w:p>
        </w:tc>
      </w:tr>
      <w:tr w:rsidR="00EE7EB6" w:rsidRPr="00EE7EB6" w14:paraId="55F1CC40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003BD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4C374A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62 879,9</w:t>
            </w:r>
          </w:p>
        </w:tc>
      </w:tr>
      <w:tr w:rsidR="00EE7EB6" w:rsidRPr="00EE7EB6" w14:paraId="1056C90E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5A032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4F7C0C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17 991,7</w:t>
            </w:r>
          </w:p>
        </w:tc>
      </w:tr>
      <w:tr w:rsidR="00EE7EB6" w:rsidRPr="00EE7EB6" w14:paraId="150B1C98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BD8C1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674693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691,6</w:t>
            </w:r>
          </w:p>
        </w:tc>
      </w:tr>
      <w:tr w:rsidR="00EE7EB6" w:rsidRPr="00EE7EB6" w14:paraId="1A0B9DF7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4A69E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88FAD5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34 786,3</w:t>
            </w:r>
          </w:p>
        </w:tc>
      </w:tr>
      <w:tr w:rsidR="00EE7EB6" w:rsidRPr="00EE7EB6" w14:paraId="528721F1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7C560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1BDA02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13 480,0</w:t>
            </w:r>
          </w:p>
        </w:tc>
      </w:tr>
      <w:tr w:rsidR="00EE7EB6" w:rsidRPr="00EE7EB6" w14:paraId="1735DA9E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E02A1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27996D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132 552,4</w:t>
            </w:r>
          </w:p>
        </w:tc>
      </w:tr>
      <w:tr w:rsidR="00EE7EB6" w:rsidRPr="00EE7EB6" w14:paraId="3284B7B3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0A828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0FC853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17 973,1</w:t>
            </w:r>
          </w:p>
        </w:tc>
      </w:tr>
      <w:tr w:rsidR="00EE7EB6" w:rsidRPr="00EE7EB6" w14:paraId="09B5201C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81391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უზბეკეთი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635B60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169,1</w:t>
            </w:r>
          </w:p>
        </w:tc>
      </w:tr>
      <w:tr w:rsidR="00EE7EB6" w:rsidRPr="00EE7EB6" w14:paraId="2635582B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D886D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უკრაინა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875E31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154,5</w:t>
            </w:r>
          </w:p>
        </w:tc>
      </w:tr>
      <w:tr w:rsidR="00EE7EB6" w:rsidRPr="00EE7EB6" w14:paraId="44F24339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41F58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B355E0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28 768,7</w:t>
            </w:r>
          </w:p>
        </w:tc>
      </w:tr>
      <w:tr w:rsidR="00EE7EB6" w:rsidRPr="00EE7EB6" w14:paraId="54031857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9BB2D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ჩინეთი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5E5C2E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3 012,9</w:t>
            </w:r>
          </w:p>
        </w:tc>
      </w:tr>
      <w:tr w:rsidR="00EE7EB6" w:rsidRPr="00EE7EB6" w14:paraId="00421716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9B453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178B26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2 396 708,6</w:t>
            </w:r>
          </w:p>
        </w:tc>
      </w:tr>
      <w:tr w:rsidR="00EE7EB6" w:rsidRPr="00EE7EB6" w14:paraId="0389D2C0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C5839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514325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712 595,8</w:t>
            </w:r>
          </w:p>
        </w:tc>
      </w:tr>
      <w:tr w:rsidR="00EE7EB6" w:rsidRPr="00EE7EB6" w14:paraId="14140B74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6CE2A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კუვეიტი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0006DC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30 634,0</w:t>
            </w:r>
          </w:p>
        </w:tc>
      </w:tr>
      <w:tr w:rsidR="00EE7EB6" w:rsidRPr="00EE7EB6" w14:paraId="4E9B720A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81956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ნიდერლანდები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C0DAED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1 284,5</w:t>
            </w:r>
          </w:p>
        </w:tc>
      </w:tr>
      <w:tr w:rsidR="00EE7EB6" w:rsidRPr="00EE7EB6" w14:paraId="26898A63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2CF76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ამერიკა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8DB5F0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50 833,4</w:t>
            </w:r>
          </w:p>
        </w:tc>
      </w:tr>
      <w:tr w:rsidR="00EE7EB6" w:rsidRPr="00EE7EB6" w14:paraId="704F990D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EB569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D22E86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1 901 955,4</w:t>
            </w:r>
          </w:p>
        </w:tc>
      </w:tr>
      <w:tr w:rsidR="00EE7EB6" w:rsidRPr="00EE7EB6" w14:paraId="1D494B0C" w14:textId="77777777" w:rsidTr="00EE7EB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38AF87C7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40F8A11A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1 638 300,0</w:t>
            </w:r>
          </w:p>
        </w:tc>
      </w:tr>
      <w:tr w:rsidR="00EE7EB6" w:rsidRPr="00EE7EB6" w14:paraId="459928F9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0D4B7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ევრობონდები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7D43A7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1 638 300,0</w:t>
            </w:r>
          </w:p>
        </w:tc>
      </w:tr>
      <w:tr w:rsidR="00EE7EB6" w:rsidRPr="00EE7EB6" w14:paraId="3DDA19CE" w14:textId="77777777" w:rsidTr="00EE7EB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1FC5A0FD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გარანტიით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აღებული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7BBDDD27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5 564,4</w:t>
            </w:r>
          </w:p>
        </w:tc>
      </w:tr>
      <w:tr w:rsidR="00EE7EB6" w:rsidRPr="00EE7EB6" w14:paraId="7A4049E7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CB864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DADC40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5 564,4</w:t>
            </w:r>
          </w:p>
        </w:tc>
      </w:tr>
      <w:tr w:rsidR="00EE7EB6" w:rsidRPr="00EE7EB6" w14:paraId="03D390E3" w14:textId="77777777" w:rsidTr="00EE7EB6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0F602E23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 საშინაო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7D6BB12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6 186 121,0</w:t>
            </w:r>
          </w:p>
        </w:tc>
      </w:tr>
      <w:tr w:rsidR="00EE7EB6" w:rsidRPr="00EE7EB6" w14:paraId="6DC02A78" w14:textId="77777777" w:rsidTr="00EE7EB6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A04F1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ეროვნული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ბანკისთვის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განკუთვნილი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ერთწლიანი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ყოველწლიურად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განახლებადი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4C7F66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200 846,0</w:t>
            </w:r>
          </w:p>
        </w:tc>
      </w:tr>
      <w:tr w:rsidR="00EE7EB6" w:rsidRPr="00EE7EB6" w14:paraId="522DD6DC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A2333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სხვადასხვა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ვადის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ღია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ბაზრის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ოპერაციებისთვის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951AB1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152 000,0</w:t>
            </w:r>
          </w:p>
        </w:tc>
      </w:tr>
      <w:tr w:rsidR="00EE7EB6" w:rsidRPr="00EE7EB6" w14:paraId="25819E16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8A6FD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4B156B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723 366,2</w:t>
            </w:r>
          </w:p>
        </w:tc>
      </w:tr>
      <w:tr w:rsidR="00EE7EB6" w:rsidRPr="00EE7EB6" w14:paraId="608B459A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A8143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r w:rsidRPr="00EE7E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5DEE49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5 069 084,4</w:t>
            </w:r>
          </w:p>
        </w:tc>
      </w:tr>
      <w:tr w:rsidR="00EE7EB6" w:rsidRPr="00EE7EB6" w14:paraId="45DF4B97" w14:textId="77777777" w:rsidTr="00EE7EB6">
        <w:trPr>
          <w:trHeight w:val="30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A120A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საბიუჯეტო ორგანიზაციების სესხის სახით არსებულ ვალი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92F574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40 824,4</w:t>
            </w:r>
          </w:p>
        </w:tc>
      </w:tr>
      <w:tr w:rsidR="00EE7EB6" w:rsidRPr="00EE7EB6" w14:paraId="252F9C0B" w14:textId="77777777" w:rsidTr="00EE7EB6">
        <w:trPr>
          <w:trHeight w:val="570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2263C1A4" w14:textId="77777777" w:rsidR="00EE7EB6" w:rsidRPr="00EE7EB6" w:rsidRDefault="00EE7EB6" w:rsidP="00EE7E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r w:rsidRPr="00EE7E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E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680865A0" w14:textId="77777777" w:rsidR="00EE7EB6" w:rsidRPr="00BA1426" w:rsidRDefault="00EE7EB6" w:rsidP="00EE7E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A1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29 653 583,7</w:t>
            </w:r>
          </w:p>
        </w:tc>
      </w:tr>
    </w:tbl>
    <w:p w14:paraId="2E822192" w14:textId="77777777" w:rsidR="00786EA2" w:rsidRDefault="00786EA2" w:rsidP="002D2B26">
      <w:pPr>
        <w:spacing w:after="0" w:line="240" w:lineRule="auto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</w:p>
    <w:p w14:paraId="514EB422" w14:textId="77777777" w:rsidR="000340AB" w:rsidRPr="00AD6A17" w:rsidRDefault="000340AB" w:rsidP="002D2B26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r w:rsidRPr="003430DD">
        <w:rPr>
          <w:rFonts w:ascii="Sylfaen" w:hAnsi="Sylfaen" w:cs="Sylfaen"/>
          <w:i/>
          <w:sz w:val="16"/>
          <w:szCs w:val="16"/>
        </w:rPr>
        <w:t>შენიშვნა</w:t>
      </w:r>
      <w:r w:rsidRPr="003430DD">
        <w:rPr>
          <w:i/>
          <w:sz w:val="16"/>
          <w:szCs w:val="16"/>
        </w:rPr>
        <w:t xml:space="preserve">: </w:t>
      </w:r>
      <w:r w:rsidRPr="003430DD">
        <w:rPr>
          <w:rFonts w:ascii="Sylfaen" w:hAnsi="Sylfaen" w:cs="Sylfaen"/>
          <w:i/>
          <w:sz w:val="16"/>
          <w:szCs w:val="16"/>
        </w:rPr>
        <w:t>ცხრილში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გამოყენებულია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სავალუტო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კურსები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მოცემული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თარიღისათვის</w:t>
      </w:r>
    </w:p>
    <w:sectPr w:rsidR="000340AB" w:rsidRPr="00AD6A17" w:rsidSect="002D2B26">
      <w:pgSz w:w="11907" w:h="16839" w:code="9"/>
      <w:pgMar w:top="426" w:right="837" w:bottom="568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03A6" w14:textId="77777777" w:rsidR="000B3D6E" w:rsidRDefault="000B3D6E" w:rsidP="00400BED">
      <w:pPr>
        <w:spacing w:after="0" w:line="240" w:lineRule="auto"/>
      </w:pPr>
      <w:r>
        <w:separator/>
      </w:r>
    </w:p>
  </w:endnote>
  <w:endnote w:type="continuationSeparator" w:id="0">
    <w:p w14:paraId="6B81FA2A" w14:textId="77777777" w:rsidR="000B3D6E" w:rsidRDefault="000B3D6E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CB5B0" w14:textId="77777777" w:rsidR="000B3D6E" w:rsidRDefault="000B3D6E" w:rsidP="00400BED">
      <w:pPr>
        <w:spacing w:after="0" w:line="240" w:lineRule="auto"/>
      </w:pPr>
      <w:r>
        <w:separator/>
      </w:r>
    </w:p>
  </w:footnote>
  <w:footnote w:type="continuationSeparator" w:id="0">
    <w:p w14:paraId="693E4548" w14:textId="77777777" w:rsidR="000B3D6E" w:rsidRDefault="000B3D6E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5"/>
    <w:rsid w:val="00001E43"/>
    <w:rsid w:val="0000527B"/>
    <w:rsid w:val="00012780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F64"/>
    <w:rsid w:val="000A7B97"/>
    <w:rsid w:val="000B16F8"/>
    <w:rsid w:val="000B2189"/>
    <w:rsid w:val="000B3D6E"/>
    <w:rsid w:val="000B567A"/>
    <w:rsid w:val="000B6954"/>
    <w:rsid w:val="000B6CAA"/>
    <w:rsid w:val="000C139F"/>
    <w:rsid w:val="000C3566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763FC"/>
    <w:rsid w:val="00181ECC"/>
    <w:rsid w:val="00182832"/>
    <w:rsid w:val="00187C1C"/>
    <w:rsid w:val="00190A72"/>
    <w:rsid w:val="00193364"/>
    <w:rsid w:val="00193C76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2B26"/>
    <w:rsid w:val="002D6813"/>
    <w:rsid w:val="002E3E75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5CE1"/>
    <w:rsid w:val="003967C1"/>
    <w:rsid w:val="00396821"/>
    <w:rsid w:val="00397075"/>
    <w:rsid w:val="003A0B26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5AB2"/>
    <w:rsid w:val="0050185A"/>
    <w:rsid w:val="00501E22"/>
    <w:rsid w:val="005043A4"/>
    <w:rsid w:val="00510802"/>
    <w:rsid w:val="005131CE"/>
    <w:rsid w:val="005134D5"/>
    <w:rsid w:val="00515451"/>
    <w:rsid w:val="005165EB"/>
    <w:rsid w:val="00522235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0452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1B34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7D49"/>
    <w:rsid w:val="006B1B1E"/>
    <w:rsid w:val="006B398B"/>
    <w:rsid w:val="006B3FC1"/>
    <w:rsid w:val="006B56B0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7274B"/>
    <w:rsid w:val="00776354"/>
    <w:rsid w:val="00780B7F"/>
    <w:rsid w:val="00784855"/>
    <w:rsid w:val="0078542F"/>
    <w:rsid w:val="00786EA2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0E2B"/>
    <w:rsid w:val="00861F1F"/>
    <w:rsid w:val="00862004"/>
    <w:rsid w:val="00863F99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B7D"/>
    <w:rsid w:val="008A7DED"/>
    <w:rsid w:val="008B14CF"/>
    <w:rsid w:val="008B2C36"/>
    <w:rsid w:val="008B343B"/>
    <w:rsid w:val="008B56E3"/>
    <w:rsid w:val="008B589D"/>
    <w:rsid w:val="008B5C79"/>
    <w:rsid w:val="008B76C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0DB7"/>
    <w:rsid w:val="009330E5"/>
    <w:rsid w:val="009335FA"/>
    <w:rsid w:val="00935F0A"/>
    <w:rsid w:val="009363B9"/>
    <w:rsid w:val="00941504"/>
    <w:rsid w:val="009453D8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115B"/>
    <w:rsid w:val="009816B7"/>
    <w:rsid w:val="00982850"/>
    <w:rsid w:val="00982E29"/>
    <w:rsid w:val="00986AAF"/>
    <w:rsid w:val="009917B8"/>
    <w:rsid w:val="00991B14"/>
    <w:rsid w:val="009925D7"/>
    <w:rsid w:val="00993049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16CF3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5EB8"/>
    <w:rsid w:val="00A50002"/>
    <w:rsid w:val="00A5293F"/>
    <w:rsid w:val="00A56E3B"/>
    <w:rsid w:val="00A57273"/>
    <w:rsid w:val="00A6278E"/>
    <w:rsid w:val="00A63967"/>
    <w:rsid w:val="00A67F51"/>
    <w:rsid w:val="00A72FFA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4F3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9D0"/>
    <w:rsid w:val="00AD5E57"/>
    <w:rsid w:val="00AD6A17"/>
    <w:rsid w:val="00AE3BBE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EAA"/>
    <w:rsid w:val="00B30876"/>
    <w:rsid w:val="00B3130D"/>
    <w:rsid w:val="00B32432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4CDE"/>
    <w:rsid w:val="00B95192"/>
    <w:rsid w:val="00B95528"/>
    <w:rsid w:val="00BA1426"/>
    <w:rsid w:val="00BA297C"/>
    <w:rsid w:val="00BA6094"/>
    <w:rsid w:val="00BA64A2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C7FBE"/>
    <w:rsid w:val="00CD1557"/>
    <w:rsid w:val="00CD2440"/>
    <w:rsid w:val="00CD352C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7EF"/>
    <w:rsid w:val="00D20BFD"/>
    <w:rsid w:val="00D21BD3"/>
    <w:rsid w:val="00D229A9"/>
    <w:rsid w:val="00D2609D"/>
    <w:rsid w:val="00D261E7"/>
    <w:rsid w:val="00D26939"/>
    <w:rsid w:val="00D31A08"/>
    <w:rsid w:val="00D32336"/>
    <w:rsid w:val="00D3238E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5A3D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0D5F"/>
    <w:rsid w:val="00E224DE"/>
    <w:rsid w:val="00E2573D"/>
    <w:rsid w:val="00E30881"/>
    <w:rsid w:val="00E31BC0"/>
    <w:rsid w:val="00E32CB6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57B0"/>
    <w:rsid w:val="00E9045D"/>
    <w:rsid w:val="00E97A98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2F14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4292"/>
    <w:rsid w:val="00EF45AF"/>
    <w:rsid w:val="00EF46D7"/>
    <w:rsid w:val="00EF6AB2"/>
    <w:rsid w:val="00F003A7"/>
    <w:rsid w:val="00F01A27"/>
    <w:rsid w:val="00F07891"/>
    <w:rsid w:val="00F07AE6"/>
    <w:rsid w:val="00F106FA"/>
    <w:rsid w:val="00F163EB"/>
    <w:rsid w:val="00F16F47"/>
    <w:rsid w:val="00F1789E"/>
    <w:rsid w:val="00F213DA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1DDB2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21%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55%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45%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0.11224910432138516"/>
                  <c:y val="0.21701171499903971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800" b="0">
                <a:solidFill>
                  <a:sysClr val="windowText" lastClr="000000"/>
                </a:solidFill>
              </a:defRPr>
            </a:pPr>
            <a:r>
              <a:rPr lang="ka-GE" sz="8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US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B2A1-4643-47BA-B81B-5CBCDF39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Yuri Gurgenidze</cp:lastModifiedBy>
  <cp:revision>2</cp:revision>
  <cp:lastPrinted>2019-04-25T08:10:00Z</cp:lastPrinted>
  <dcterms:created xsi:type="dcterms:W3CDTF">2021-03-05T07:30:00Z</dcterms:created>
  <dcterms:modified xsi:type="dcterms:W3CDTF">2021-03-05T07:30:00Z</dcterms:modified>
</cp:coreProperties>
</file>